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widowControl/>
        <w:suppressLineNumbers w:val="0"/>
        <w:spacing w:before="0" w:beforeAutospacing="0" w:after="0" w:afterAutospacing="0" w:line="570" w:lineRule="exact"/>
        <w:ind w:firstLine="0" w:firstLineChars="0"/>
        <w:jc w:val="center"/>
        <w:rPr>
          <w:rFonts w:hint="eastAsia" w:ascii="方正小标宋简体" w:hAnsi="方正小标宋简体" w:eastAsia="方正小标宋简体"/>
          <w:sz w:val="44"/>
          <w:szCs w:val="44"/>
          <w:lang w:eastAsia="zh-CN"/>
        </w:rPr>
      </w:pPr>
      <w:r>
        <w:rPr>
          <w:rFonts w:hint="eastAsia" w:ascii="方正小标宋简体" w:hAnsi="方正小标宋简体" w:eastAsia="方正小标宋简体"/>
          <w:sz w:val="44"/>
          <w:szCs w:val="44"/>
          <w:lang w:eastAsia="zh-CN"/>
        </w:rPr>
        <w:t>福建省级机关医院院内</w:t>
      </w:r>
    </w:p>
    <w:p>
      <w:pPr>
        <w:pStyle w:val="11"/>
        <w:keepNext w:val="0"/>
        <w:keepLines w:val="0"/>
        <w:widowControl/>
        <w:suppressLineNumbers w:val="0"/>
        <w:spacing w:before="0" w:beforeAutospacing="0" w:after="0" w:afterAutospacing="0" w:line="570" w:lineRule="exact"/>
        <w:ind w:firstLine="0" w:firstLineChars="0"/>
        <w:jc w:val="center"/>
        <w:rPr>
          <w:rFonts w:hint="eastAsia" w:ascii="方正小标宋简体" w:hAnsi="方正小标宋简体" w:eastAsia="方正小标宋简体"/>
          <w:sz w:val="44"/>
          <w:szCs w:val="44"/>
          <w:lang w:eastAsia="zh-CN"/>
        </w:rPr>
      </w:pPr>
      <w:r>
        <w:rPr>
          <w:rFonts w:hint="eastAsia" w:ascii="方正小标宋简体" w:hAnsi="方正小标宋简体" w:eastAsia="方正小标宋简体"/>
          <w:sz w:val="44"/>
          <w:szCs w:val="44"/>
          <w:lang w:eastAsia="zh-CN"/>
        </w:rPr>
        <w:t>电梯维保服务</w:t>
      </w:r>
      <w:r>
        <w:rPr>
          <w:rFonts w:hint="eastAsia" w:ascii="方正小标宋简体" w:hAnsi="方正小标宋简体" w:eastAsia="方正小标宋简体"/>
          <w:sz w:val="44"/>
          <w:szCs w:val="44"/>
        </w:rPr>
        <w:t>采购</w:t>
      </w:r>
      <w:r>
        <w:rPr>
          <w:rFonts w:hint="eastAsia" w:ascii="方正小标宋简体" w:hAnsi="方正小标宋简体" w:eastAsia="方正小标宋简体"/>
          <w:sz w:val="44"/>
          <w:szCs w:val="44"/>
          <w:lang w:eastAsia="zh-CN"/>
        </w:rPr>
        <w:t>项目自行采购</w:t>
      </w:r>
      <w:r>
        <w:rPr>
          <w:rFonts w:ascii="方正小标宋简体" w:hAnsi="方正小标宋简体" w:eastAsia="方正小标宋简体"/>
          <w:sz w:val="44"/>
          <w:szCs w:val="44"/>
        </w:rPr>
        <w:t>文件（</w:t>
      </w:r>
      <w:r>
        <w:rPr>
          <w:rFonts w:hint="eastAsia" w:ascii="方正小标宋简体" w:hAnsi="方正小标宋简体" w:eastAsia="方正小标宋简体"/>
          <w:sz w:val="44"/>
          <w:szCs w:val="44"/>
          <w:lang w:eastAsia="zh-CN"/>
        </w:rPr>
        <w:t>参照</w:t>
      </w:r>
      <w:r>
        <w:rPr>
          <w:rFonts w:ascii="方正小标宋简体" w:hAnsi="方正小标宋简体" w:eastAsia="方正小标宋简体"/>
          <w:sz w:val="44"/>
          <w:szCs w:val="44"/>
        </w:rPr>
        <w:t>竞争性谈判）</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福建省级机关医院</w:t>
      </w:r>
      <w:r>
        <w:rPr>
          <w:rFonts w:hint="eastAsia" w:ascii="仿宋_GB2312" w:hAnsi="仿宋_GB2312" w:eastAsia="仿宋_GB2312"/>
          <w:sz w:val="32"/>
          <w:szCs w:val="32"/>
        </w:rPr>
        <w:t>进行组织院内</w:t>
      </w:r>
      <w:r>
        <w:rPr>
          <w:rFonts w:hint="eastAsia" w:ascii="仿宋_GB2312" w:hAnsi="仿宋_GB2312" w:eastAsia="仿宋_GB2312"/>
          <w:sz w:val="32"/>
          <w:szCs w:val="32"/>
          <w:lang w:eastAsia="zh-CN"/>
        </w:rPr>
        <w:t>采购</w:t>
      </w:r>
      <w:r>
        <w:rPr>
          <w:rFonts w:hint="eastAsia" w:ascii="仿宋_GB2312" w:hAnsi="仿宋_GB2312" w:eastAsia="仿宋_GB2312"/>
          <w:sz w:val="32"/>
          <w:szCs w:val="32"/>
        </w:rPr>
        <w:t>活动，现欢迎国内合格的供应商前来提交密封的响应文件。</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sz w:val="32"/>
          <w:szCs w:val="32"/>
        </w:rPr>
      </w:pPr>
      <w:r>
        <w:rPr>
          <w:rStyle w:val="17"/>
          <w:rFonts w:hint="eastAsia" w:ascii="仿宋_GB2312" w:hAnsi="仿宋_GB2312" w:eastAsia="仿宋_GB2312"/>
          <w:sz w:val="32"/>
          <w:szCs w:val="32"/>
        </w:rPr>
        <w:t>一、</w:t>
      </w:r>
      <w:r>
        <w:rPr>
          <w:rStyle w:val="17"/>
          <w:rFonts w:hint="eastAsia" w:ascii="仿宋_GB2312" w:hAnsi="仿宋_GB2312" w:eastAsia="仿宋_GB2312"/>
          <w:sz w:val="32"/>
          <w:szCs w:val="32"/>
          <w:lang w:eastAsia="zh-CN"/>
        </w:rPr>
        <w:t>采购</w:t>
      </w:r>
      <w:r>
        <w:rPr>
          <w:rStyle w:val="17"/>
          <w:rFonts w:hint="eastAsia" w:ascii="仿宋_GB2312" w:hAnsi="仿宋_GB2312" w:eastAsia="仿宋_GB2312"/>
          <w:sz w:val="32"/>
          <w:szCs w:val="32"/>
        </w:rPr>
        <w:t>项目概况和范围</w:t>
      </w:r>
    </w:p>
    <w:p>
      <w:pPr>
        <w:pStyle w:val="16"/>
        <w:keepNext w:val="0"/>
        <w:keepLines w:val="0"/>
        <w:widowControl/>
        <w:suppressLineNumbers w:val="0"/>
        <w:spacing w:before="0" w:beforeAutospacing="0" w:after="0" w:afterAutospacing="0" w:line="570" w:lineRule="exact"/>
        <w:ind w:left="2880" w:leftChars="200" w:hanging="2240" w:hangingChars="700"/>
        <w:rPr>
          <w:rFonts w:hint="eastAsia" w:ascii="仿宋_GB2312" w:hAnsi="仿宋_GB2312" w:eastAsia="仿宋_GB2312"/>
          <w:sz w:val="32"/>
          <w:szCs w:val="32"/>
        </w:rPr>
      </w:pPr>
      <w:r>
        <w:rPr>
          <w:rFonts w:hint="eastAsia" w:ascii="仿宋_GB2312" w:hAnsi="仿宋_GB2312" w:eastAsia="仿宋_GB2312"/>
          <w:sz w:val="32"/>
          <w:szCs w:val="32"/>
        </w:rPr>
        <w:t>1、项目名称：</w:t>
      </w:r>
      <w:r>
        <w:rPr>
          <w:rFonts w:hint="eastAsia" w:ascii="仿宋_GB2312" w:hAnsi="仿宋_GB2312" w:eastAsia="仿宋_GB2312"/>
          <w:sz w:val="32"/>
          <w:szCs w:val="32"/>
          <w:lang w:eastAsia="zh-CN"/>
        </w:rPr>
        <w:t>福建省级机关医院</w:t>
      </w:r>
      <w:r>
        <w:rPr>
          <w:rFonts w:hint="eastAsia" w:ascii="仿宋_GB2312" w:hAnsi="仿宋_GB2312" w:eastAsia="仿宋_GB2312"/>
          <w:i w:val="0"/>
          <w:iCs w:val="0"/>
          <w:color w:val="444444"/>
          <w:spacing w:val="0"/>
          <w:sz w:val="32"/>
          <w:szCs w:val="32"/>
          <w:shd w:val="clear" w:color="auto" w:fill="FFFFFF"/>
          <w:lang w:eastAsia="zh-CN"/>
        </w:rPr>
        <w:t>电梯维保服务</w:t>
      </w:r>
      <w:r>
        <w:rPr>
          <w:rFonts w:hint="eastAsia" w:ascii="仿宋_GB2312" w:hAnsi="仿宋_GB2312"/>
          <w:sz w:val="32"/>
          <w:szCs w:val="32"/>
          <w:lang w:val="en-US" w:eastAsia="zh-CN"/>
        </w:rPr>
        <w:t>采购</w:t>
      </w:r>
      <w:r>
        <w:rPr>
          <w:rFonts w:hint="eastAsia" w:ascii="仿宋_GB2312" w:hAnsi="仿宋_GB2312" w:eastAsia="仿宋_GB2312"/>
          <w:sz w:val="32"/>
          <w:szCs w:val="32"/>
        </w:rPr>
        <w:t>目</w:t>
      </w:r>
      <w:r>
        <w:rPr>
          <w:rFonts w:hint="eastAsia" w:ascii="仿宋_GB2312" w:hAnsi="仿宋_GB2312" w:eastAsia="仿宋_GB2312"/>
          <w:sz w:val="32"/>
          <w:szCs w:val="32"/>
          <w:lang w:eastAsia="zh-CN"/>
        </w:rPr>
        <w:t>；</w:t>
      </w:r>
    </w:p>
    <w:p>
      <w:pPr>
        <w:keepNext w:val="0"/>
        <w:keepLines w:val="0"/>
        <w:pageBreakBefore w:val="0"/>
        <w:widowControl w:val="0"/>
        <w:kinsoku/>
        <w:wordWrap/>
        <w:overflowPunct/>
        <w:topLinePunct w:val="0"/>
        <w:autoSpaceDE/>
        <w:autoSpaceDN/>
        <w:bidi w:val="0"/>
        <w:snapToGrid/>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w:t>
      </w:r>
      <w:r>
        <w:rPr>
          <w:rFonts w:hint="eastAsia" w:ascii="仿宋_GB2312" w:hAnsi="仿宋_GB2312" w:eastAsia="仿宋_GB2312"/>
          <w:sz w:val="32"/>
          <w:szCs w:val="32"/>
          <w:lang w:eastAsia="zh-CN"/>
        </w:rPr>
        <w:t>项目编号：</w:t>
      </w:r>
      <w:r>
        <w:rPr>
          <w:rFonts w:hint="eastAsia" w:ascii="仿宋_GB2312" w:hAnsi="仿宋_GB2312" w:eastAsia="仿宋_GB2312"/>
          <w:b/>
          <w:bCs/>
          <w:sz w:val="32"/>
          <w:szCs w:val="32"/>
          <w:lang w:val="en-US" w:eastAsia="zh-CN"/>
        </w:rPr>
        <w:t>F</w:t>
      </w:r>
      <w:r>
        <w:rPr>
          <w:rFonts w:hint="eastAsia" w:ascii="仿宋_GB2312" w:hAnsi="仿宋_GB2312" w:eastAsia="仿宋_GB2312"/>
          <w:b/>
          <w:bCs/>
          <w:color w:val="000000"/>
          <w:sz w:val="32"/>
          <w:szCs w:val="32"/>
          <w:lang w:val="en-US" w:eastAsia="zh-CN"/>
        </w:rPr>
        <w:t>J</w:t>
      </w:r>
      <w:r>
        <w:rPr>
          <w:rFonts w:hint="eastAsia" w:ascii="仿宋_GB2312" w:hAnsi="仿宋_GB2312" w:eastAsia="仿宋_GB2312"/>
          <w:b/>
          <w:bCs/>
          <w:color w:val="000000"/>
          <w:sz w:val="32"/>
          <w:szCs w:val="32"/>
        </w:rPr>
        <w:t>SJJGY</w:t>
      </w:r>
      <w:r>
        <w:rPr>
          <w:rFonts w:hint="eastAsia" w:ascii="仿宋_GB2312" w:hAnsi="仿宋_GB2312" w:eastAsia="仿宋_GB2312"/>
          <w:b/>
          <w:bCs/>
          <w:color w:val="000000"/>
          <w:sz w:val="32"/>
          <w:szCs w:val="32"/>
          <w:lang w:val="en-US" w:eastAsia="zh-CN"/>
        </w:rPr>
        <w:t>Y</w:t>
      </w:r>
      <w:r>
        <w:rPr>
          <w:rFonts w:hint="eastAsia" w:ascii="仿宋_GB2312" w:hAnsi="仿宋_GB2312" w:eastAsia="仿宋_GB2312"/>
          <w:b/>
          <w:bCs/>
          <w:color w:val="000000"/>
          <w:sz w:val="32"/>
          <w:szCs w:val="32"/>
        </w:rPr>
        <w:t>-</w:t>
      </w:r>
      <w:r>
        <w:rPr>
          <w:rFonts w:hint="eastAsia" w:ascii="仿宋_GB2312" w:hAnsi="仿宋_GB2312" w:eastAsia="仿宋_GB2312"/>
          <w:b/>
          <w:bCs/>
          <w:color w:val="000000"/>
          <w:sz w:val="32"/>
          <w:szCs w:val="32"/>
          <w:lang w:val="en-US" w:eastAsia="zh-CN"/>
        </w:rPr>
        <w:t>ZWK(FW)</w:t>
      </w:r>
      <w:r>
        <w:rPr>
          <w:rFonts w:hint="eastAsia" w:ascii="仿宋_GB2312" w:hAnsi="仿宋_GB2312" w:eastAsia="仿宋_GB2312"/>
          <w:b/>
          <w:bCs/>
          <w:color w:val="000000"/>
          <w:sz w:val="32"/>
          <w:szCs w:val="32"/>
        </w:rPr>
        <w:t>-</w:t>
      </w:r>
      <w:r>
        <w:rPr>
          <w:rFonts w:hint="eastAsia" w:ascii="仿宋_GB2312" w:hAnsi="仿宋_GB2312"/>
          <w:b/>
          <w:bCs/>
          <w:color w:val="000000"/>
          <w:sz w:val="32"/>
          <w:szCs w:val="32"/>
          <w:lang w:val="en-US" w:eastAsia="zh-CN"/>
        </w:rPr>
        <w:t>2024</w:t>
      </w:r>
      <w:r>
        <w:rPr>
          <w:rFonts w:hint="eastAsia" w:ascii="仿宋_GB2312" w:hAnsi="仿宋_GB2312" w:eastAsia="仿宋_GB2312"/>
          <w:b/>
          <w:bCs/>
          <w:color w:val="000000"/>
          <w:sz w:val="32"/>
          <w:szCs w:val="32"/>
          <w:lang w:val="en-US" w:eastAsia="zh-CN"/>
        </w:rPr>
        <w:t>-</w:t>
      </w:r>
      <w:r>
        <w:rPr>
          <w:rFonts w:hint="eastAsia" w:ascii="仿宋_GB2312" w:hAnsi="仿宋_GB2312" w:eastAsia="仿宋_GB2312"/>
          <w:b/>
          <w:bCs/>
          <w:color w:val="000000"/>
          <w:sz w:val="32"/>
          <w:szCs w:val="32"/>
        </w:rPr>
        <w:t>0</w:t>
      </w:r>
      <w:r>
        <w:rPr>
          <w:rFonts w:hint="eastAsia" w:ascii="仿宋_GB2312" w:hAnsi="仿宋_GB2312" w:eastAsia="仿宋_GB2312"/>
          <w:b/>
          <w:bCs/>
          <w:color w:val="000000"/>
          <w:sz w:val="32"/>
          <w:szCs w:val="32"/>
          <w:lang w:val="en-US" w:eastAsia="zh-CN"/>
        </w:rPr>
        <w:t>4</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3、招标范围和内容：详见本项目采购内容及要求中的全部内容。</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4、本项目预算金额：</w:t>
      </w:r>
      <w:r>
        <w:rPr>
          <w:rFonts w:hint="eastAsia" w:ascii="微软雅黑" w:hAnsi="微软雅黑" w:eastAsia="微软雅黑"/>
          <w:i w:val="0"/>
          <w:iCs w:val="0"/>
          <w:color w:val="444444"/>
          <w:spacing w:val="0"/>
          <w:sz w:val="24"/>
          <w:szCs w:val="24"/>
          <w:shd w:val="clear" w:color="auto" w:fill="FFFFFF"/>
          <w:lang w:val="en-US" w:eastAsia="zh-CN"/>
        </w:rPr>
        <w:t>23000.00</w:t>
      </w:r>
      <w:r>
        <w:rPr>
          <w:rFonts w:hint="eastAsia" w:ascii="仿宋_GB2312" w:hAnsi="仿宋_GB2312" w:eastAsia="仿宋_GB2312"/>
          <w:sz w:val="32"/>
          <w:szCs w:val="32"/>
        </w:rPr>
        <w:t>元</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w:t>
      </w:r>
      <w:r>
        <w:rPr>
          <w:rFonts w:hint="eastAsia" w:ascii="仿宋_GB2312" w:hAnsi="仿宋_GB2312" w:eastAsia="仿宋_GB2312"/>
          <w:b/>
          <w:bCs/>
          <w:color w:val="000000" w:themeColor="text1"/>
          <w:sz w:val="32"/>
          <w:szCs w:val="32"/>
          <w:lang w:val="en-US" w:eastAsia="zh-CN"/>
          <w14:textFill>
            <w14:solidFill>
              <w14:schemeClr w14:val="tx1"/>
            </w14:solidFill>
          </w14:textFill>
        </w:rPr>
        <w:t>服务年限</w:t>
      </w:r>
      <w:r>
        <w:rPr>
          <w:rFonts w:hint="eastAsia" w:ascii="仿宋_GB2312" w:hAnsi="仿宋_GB2312"/>
          <w:b/>
          <w:bCs/>
          <w:color w:val="000000" w:themeColor="text1"/>
          <w:sz w:val="32"/>
          <w:szCs w:val="32"/>
          <w:lang w:val="en-US" w:eastAsia="zh-CN"/>
          <w14:textFill>
            <w14:solidFill>
              <w14:schemeClr w14:val="tx1"/>
            </w14:solidFill>
          </w14:textFill>
        </w:rPr>
        <w:t>1年</w:t>
      </w:r>
      <w:r>
        <w:rPr>
          <w:rFonts w:hint="eastAsia" w:ascii="仿宋_GB2312" w:hAnsi="仿宋_GB2312" w:eastAsia="仿宋_GB2312"/>
          <w:color w:val="000000" w:themeColor="text1"/>
          <w:sz w:val="32"/>
          <w:szCs w:val="32"/>
          <w14:textFill>
            <w14:solidFill>
              <w14:schemeClr w14:val="tx1"/>
            </w14:solidFill>
          </w14:textFill>
        </w:rPr>
        <w:t>：</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olor w:val="000000" w:themeColor="text1"/>
          <w:sz w:val="32"/>
          <w:szCs w:val="32"/>
          <w14:textFill>
            <w14:solidFill>
              <w14:schemeClr w14:val="tx1"/>
            </w14:solidFill>
          </w14:textFill>
        </w:rPr>
        <w:t>、服务（货物）一览表：</w:t>
      </w:r>
    </w:p>
    <w:tbl>
      <w:tblPr>
        <w:tblStyle w:val="7"/>
        <w:tblW w:w="8625" w:type="dxa"/>
        <w:tblCellSpacing w:w="0" w:type="dxa"/>
        <w:tblInd w:w="-105"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autofit"/>
        <w:tblCellMar>
          <w:top w:w="0" w:type="dxa"/>
          <w:left w:w="105" w:type="dxa"/>
          <w:bottom w:w="0" w:type="dxa"/>
          <w:right w:w="105" w:type="dxa"/>
        </w:tblCellMar>
      </w:tblPr>
      <w:tblGrid>
        <w:gridCol w:w="968"/>
        <w:gridCol w:w="1935"/>
        <w:gridCol w:w="1010"/>
        <w:gridCol w:w="1585"/>
        <w:gridCol w:w="3127"/>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5" w:type="dxa"/>
            <w:bottom w:w="0" w:type="dxa"/>
            <w:right w:w="105" w:type="dxa"/>
          </w:tblCellMar>
        </w:tblPrEx>
        <w:trPr>
          <w:trHeight w:val="870" w:hRule="atLeast"/>
          <w:tblCellSpacing w:w="0" w:type="dxa"/>
        </w:trPr>
        <w:tc>
          <w:tcPr>
            <w:tcW w:w="100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合同包</w:t>
            </w:r>
          </w:p>
        </w:tc>
        <w:tc>
          <w:tcPr>
            <w:tcW w:w="204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品目号</w:t>
            </w:r>
          </w:p>
        </w:tc>
        <w:tc>
          <w:tcPr>
            <w:tcW w:w="105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采购标的</w:t>
            </w:r>
          </w:p>
        </w:tc>
        <w:tc>
          <w:tcPr>
            <w:tcW w:w="166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服务期限</w:t>
            </w:r>
          </w:p>
        </w:tc>
        <w:tc>
          <w:tcPr>
            <w:tcW w:w="330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val="en-US" w:eastAsia="zh-CN" w:bidi="ar"/>
                <w14:textFill>
                  <w14:solidFill>
                    <w14:schemeClr w14:val="tx1"/>
                  </w14:solidFill>
                </w14:textFill>
              </w:rPr>
            </w:pPr>
            <w:r>
              <w:rPr>
                <w:rFonts w:hint="eastAsia" w:ascii="宋体" w:hAnsi="宋体"/>
                <w:color w:val="000000" w:themeColor="text1"/>
                <w:kern w:val="0"/>
                <w:sz w:val="24"/>
                <w:lang w:val="en-US" w:eastAsia="zh-CN" w:bidi="ar"/>
                <w14:textFill>
                  <w14:solidFill>
                    <w14:schemeClr w14:val="tx1"/>
                  </w14:solidFill>
                </w14:textFill>
              </w:rPr>
              <w:t>控制</w:t>
            </w:r>
            <w:r>
              <w:rPr>
                <w:rFonts w:hint="eastAsia" w:ascii="宋体" w:hAnsi="宋体"/>
                <w:color w:val="000000" w:themeColor="text1"/>
                <w:kern w:val="0"/>
                <w:sz w:val="24"/>
                <w:lang w:bidi="ar"/>
                <w14:textFill>
                  <w14:solidFill>
                    <w14:schemeClr w14:val="tx1"/>
                  </w14:solidFill>
                </w14:textFill>
              </w:rPr>
              <w:t>单价</w:t>
            </w:r>
            <w:r>
              <w:rPr>
                <w:rFonts w:hint="eastAsia" w:ascii="宋体" w:hAnsi="宋体"/>
                <w:color w:val="000000" w:themeColor="text1"/>
                <w:kern w:val="0"/>
                <w:sz w:val="24"/>
                <w:lang w:val="en-US" w:eastAsia="zh-CN" w:bidi="ar"/>
                <w14:textFill>
                  <w14:solidFill>
                    <w14:schemeClr w14:val="tx1"/>
                  </w14:solidFill>
                </w14:textFill>
              </w:rPr>
              <w:t xml:space="preserve"> </w:t>
            </w:r>
            <w:r>
              <w:rPr>
                <w:rFonts w:hint="eastAsia" w:ascii="宋体" w:hAnsi="宋体"/>
                <w:color w:val="000000" w:themeColor="text1"/>
                <w:kern w:val="0"/>
                <w:sz w:val="24"/>
                <w:lang w:bidi="ar"/>
                <w14:textFill>
                  <w14:solidFill>
                    <w14:schemeClr w14:val="tx1"/>
                  </w14:solidFill>
                </w14:textFill>
              </w:rPr>
              <w:t>（元</w:t>
            </w:r>
            <w:r>
              <w:rPr>
                <w:rFonts w:hint="eastAsia" w:ascii="宋体" w:hAnsi="宋体"/>
                <w:color w:val="000000" w:themeColor="text1"/>
                <w:kern w:val="0"/>
                <w:sz w:val="24"/>
                <w:lang w:val="en-US" w:eastAsia="zh-CN" w:bidi="ar"/>
                <w14:textFill>
                  <w14:solidFill>
                    <w14:schemeClr w14:val="tx1"/>
                  </w14:solidFill>
                </w14:textFill>
              </w:rPr>
              <w:t>/台</w:t>
            </w:r>
            <w:r>
              <w:rPr>
                <w:rFonts w:hint="eastAsia" w:ascii="宋体" w:hAnsi="宋体"/>
                <w:color w:val="000000" w:themeColor="text1"/>
                <w:kern w:val="0"/>
                <w:sz w:val="24"/>
                <w:lang w:bidi="ar"/>
                <w14:textFill>
                  <w14:solidFill>
                    <w14:schemeClr w14:val="tx1"/>
                  </w14:solidFill>
                </w14:textFill>
              </w:rPr>
              <w:t>）</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5" w:type="dxa"/>
            <w:bottom w:w="0" w:type="dxa"/>
            <w:right w:w="105" w:type="dxa"/>
          </w:tblCellMar>
        </w:tblPrEx>
        <w:trPr>
          <w:trHeight w:val="1185" w:hRule="atLeast"/>
          <w:tblCellSpacing w:w="0" w:type="dxa"/>
        </w:trPr>
        <w:tc>
          <w:tcPr>
            <w:tcW w:w="100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1</w:t>
            </w:r>
          </w:p>
        </w:tc>
        <w:tc>
          <w:tcPr>
            <w:tcW w:w="204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w:t>
            </w:r>
          </w:p>
        </w:tc>
        <w:tc>
          <w:tcPr>
            <w:tcW w:w="1050" w:type="dxa"/>
            <w:tcMar>
              <w:top w:w="0" w:type="dxa"/>
              <w:left w:w="105" w:type="dxa"/>
              <w:bottom w:w="0" w:type="dxa"/>
              <w:right w:w="105" w:type="dxa"/>
            </w:tcMar>
            <w:vAlign w:val="center"/>
          </w:tcPr>
          <w:p>
            <w:pPr>
              <w:pStyle w:val="16"/>
              <w:keepNext w:val="0"/>
              <w:keepLines w:val="0"/>
              <w:pageBreakBefore w:val="0"/>
              <w:widowControl w:val="0"/>
              <w:kinsoku/>
              <w:overflowPunct/>
              <w:topLinePunct w:val="0"/>
              <w:autoSpaceDE/>
              <w:autoSpaceDN/>
              <w:bidi w:val="0"/>
              <w:snapToGrid/>
              <w:spacing w:before="0" w:beforeAutospacing="0" w:after="0" w:afterAutospacing="0" w:line="520" w:lineRule="exact"/>
              <w:ind w:left="0" w:leftChars="0" w:right="0" w:rightChars="0"/>
              <w:jc w:val="both"/>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电梯维保服务</w:t>
            </w:r>
          </w:p>
        </w:tc>
        <w:tc>
          <w:tcPr>
            <w:tcW w:w="166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一年</w:t>
            </w:r>
          </w:p>
        </w:tc>
        <w:tc>
          <w:tcPr>
            <w:tcW w:w="330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11500.00</w:t>
            </w:r>
          </w:p>
        </w:tc>
      </w:tr>
    </w:tbl>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注：（1）本项目预算价人民币</w:t>
      </w:r>
      <w:r>
        <w:rPr>
          <w:rFonts w:hint="eastAsia" w:ascii="仿宋_GB2312" w:hAnsi="仿宋_GB2312"/>
          <w:color w:val="000000" w:themeColor="text1"/>
          <w:sz w:val="32"/>
          <w:szCs w:val="32"/>
          <w:lang w:val="en-US" w:eastAsia="zh-CN"/>
          <w14:textFill>
            <w14:solidFill>
              <w14:schemeClr w14:val="tx1"/>
            </w14:solidFill>
          </w14:textFill>
        </w:rPr>
        <w:t>23000.00</w:t>
      </w:r>
      <w:r>
        <w:rPr>
          <w:rFonts w:hint="eastAsia" w:ascii="仿宋_GB2312" w:hAnsi="仿宋_GB2312" w:eastAsia="仿宋_GB2312"/>
          <w:color w:val="000000" w:themeColor="text1"/>
          <w:sz w:val="32"/>
          <w:szCs w:val="32"/>
          <w14:textFill>
            <w14:solidFill>
              <w14:schemeClr w14:val="tx1"/>
            </w14:solidFill>
          </w14:textFill>
        </w:rPr>
        <w:t>元为最高限价。供应商报价超过各单价限价和最高限价的为无效报价。供应商可依据市场行情和自身情况，自由竞价。本项目所发生的一切费用</w:t>
      </w:r>
      <w:r>
        <w:rPr>
          <w:rFonts w:hint="eastAsia" w:ascii="仿宋_GB2312" w:hAnsi="仿宋_GB2312"/>
          <w:color w:val="000000" w:themeColor="text1"/>
          <w:sz w:val="32"/>
          <w:szCs w:val="32"/>
          <w:lang w:eastAsia="zh-CN"/>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如</w:t>
      </w:r>
      <w:r>
        <w:rPr>
          <w:rFonts w:hint="eastAsia" w:ascii="仿宋_GB2312" w:hAnsi="仿宋_GB2312" w:eastAsia="仿宋_GB2312"/>
          <w:color w:val="000000" w:themeColor="text1"/>
          <w:sz w:val="32"/>
          <w:szCs w:val="32"/>
          <w:u w:val="single"/>
          <w:lang w:eastAsia="zh-CN"/>
          <w14:textFill>
            <w14:solidFill>
              <w14:schemeClr w14:val="tx1"/>
            </w14:solidFill>
          </w14:textFill>
        </w:rPr>
        <w:t>货物及运输、安装、调试</w:t>
      </w:r>
      <w:r>
        <w:rPr>
          <w:rFonts w:hint="eastAsia" w:ascii="仿宋_GB2312" w:hAnsi="仿宋_GB2312" w:eastAsia="仿宋_GB2312"/>
          <w:color w:val="000000" w:themeColor="text1"/>
          <w:sz w:val="32"/>
          <w:szCs w:val="32"/>
          <w:lang w:eastAsia="zh-CN"/>
          <w14:textFill>
            <w14:solidFill>
              <w14:schemeClr w14:val="tx1"/>
            </w14:solidFill>
          </w14:textFill>
        </w:rPr>
        <w:t>等所有其他有关各项的含税费用</w:t>
      </w:r>
      <w:r>
        <w:rPr>
          <w:rFonts w:hint="eastAsia" w:ascii="仿宋_GB2312" w:hAnsi="仿宋_GB2312"/>
          <w:color w:val="000000" w:themeColor="text1"/>
          <w:sz w:val="32"/>
          <w:szCs w:val="32"/>
          <w:lang w:eastAsia="zh-CN"/>
          <w14:textFill>
            <w14:solidFill>
              <w14:schemeClr w14:val="tx1"/>
            </w14:solidFill>
          </w14:textFill>
        </w:rPr>
        <w:t>）</w:t>
      </w:r>
      <w:r>
        <w:rPr>
          <w:rFonts w:hint="eastAsia" w:ascii="仿宋_GB2312" w:hAnsi="仿宋_GB2312" w:eastAsia="仿宋_GB2312"/>
          <w:color w:val="000000" w:themeColor="text1"/>
          <w:sz w:val="32"/>
          <w:szCs w:val="32"/>
          <w14:textFill>
            <w14:solidFill>
              <w14:schemeClr w14:val="tx1"/>
            </w14:solidFill>
          </w14:textFill>
        </w:rPr>
        <w:t>均包含在报价中。如有遗漏，自行补充，一旦成交视为成交人认同遗漏部分并免费提供。</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14:textFill>
            <w14:solidFill>
              <w14:schemeClr w14:val="tx1"/>
            </w14:solidFill>
          </w14:textFill>
        </w:rPr>
      </w:pPr>
      <w:r>
        <w:rPr>
          <w:rStyle w:val="17"/>
          <w:rFonts w:hint="eastAsia" w:ascii="仿宋_GB2312" w:hAnsi="仿宋_GB2312" w:eastAsia="仿宋_GB2312"/>
          <w:color w:val="000000" w:themeColor="text1"/>
          <w:sz w:val="32"/>
          <w:szCs w:val="32"/>
          <w14:textFill>
            <w14:solidFill>
              <w14:schemeClr w14:val="tx1"/>
            </w14:solidFill>
          </w14:textFill>
        </w:rPr>
        <w:t>二、采购内容及要求（以下内容均为实质性内容，供应商须完全响应，否则视为无效响应）</w:t>
      </w:r>
    </w:p>
    <w:p>
      <w:pPr>
        <w:pStyle w:val="19"/>
        <w:ind w:firstLine="320" w:firstLineChars="100"/>
        <w:jc w:val="both"/>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（一）</w:t>
      </w:r>
      <w:r>
        <w:rPr>
          <w:rFonts w:ascii="仿宋_GB2312" w:hAnsi="仿宋_GB2312" w:eastAsia="仿宋_GB2312"/>
          <w:color w:val="000000" w:themeColor="text1"/>
          <w:sz w:val="32"/>
          <w:szCs w:val="32"/>
          <w14:textFill>
            <w14:solidFill>
              <w14:schemeClr w14:val="tx1"/>
            </w14:solidFill>
          </w14:textFill>
        </w:rPr>
        <w:t>报价要求</w:t>
      </w:r>
    </w:p>
    <w:p>
      <w:pPr>
        <w:pStyle w:val="19"/>
        <w:ind w:firstLine="640" w:firstLineChars="200"/>
        <w:jc w:val="left"/>
        <w:rPr>
          <w:rFonts w:ascii="仿宋_GB2312" w:hAnsi="仿宋_GB2312" w:eastAsia="仿宋_GB2312"/>
          <w:color w:val="000000" w:themeColor="text1"/>
          <w:sz w:val="32"/>
          <w:szCs w:val="32"/>
          <w:shd w:val="clear" w:color="auto" w:fill="FFFFFF"/>
          <w14:textFill>
            <w14:solidFill>
              <w14:schemeClr w14:val="tx1"/>
            </w14:solidFill>
          </w14:textFill>
        </w:rPr>
      </w:pPr>
      <w:r>
        <w:rPr>
          <w:rFonts w:ascii="仿宋_GB2312" w:hAnsi="仿宋_GB2312" w:eastAsia="仿宋_GB2312"/>
          <w:color w:val="000000" w:themeColor="text1"/>
          <w:sz w:val="32"/>
          <w:szCs w:val="32"/>
          <w:shd w:val="clear" w:color="auto" w:fill="FFFFFF"/>
          <w14:textFill>
            <w14:solidFill>
              <w14:schemeClr w14:val="tx1"/>
            </w14:solidFill>
          </w14:textFill>
        </w:rPr>
        <w:t>投标人应充分考虑本项目合同服务期为合同</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生效</w:t>
      </w:r>
      <w:r>
        <w:rPr>
          <w:rFonts w:ascii="仿宋_GB2312" w:hAnsi="仿宋_GB2312" w:eastAsia="仿宋_GB2312"/>
          <w:color w:val="000000" w:themeColor="text1"/>
          <w:sz w:val="32"/>
          <w:szCs w:val="32"/>
          <w:shd w:val="clear" w:color="auto" w:fill="FFFFFF"/>
          <w14:textFill>
            <w14:solidFill>
              <w14:schemeClr w14:val="tx1"/>
            </w14:solidFill>
          </w14:textFill>
        </w:rPr>
        <w:t>之日起</w:t>
      </w: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1</w:t>
      </w:r>
      <w:r>
        <w:rPr>
          <w:rFonts w:ascii="仿宋_GB2312" w:hAnsi="仿宋_GB2312" w:eastAsia="仿宋_GB2312"/>
          <w:color w:val="000000" w:themeColor="text1"/>
          <w:sz w:val="32"/>
          <w:szCs w:val="32"/>
          <w:shd w:val="clear" w:color="auto" w:fill="FFFFFF"/>
          <w14:textFill>
            <w14:solidFill>
              <w14:schemeClr w14:val="tx1"/>
            </w14:solidFill>
          </w14:textFill>
        </w:rPr>
        <w:t>年，本次所采购服务的市场价格会存在波动，投标人在投标时作出合理的投标报价，严格按照纳入本次招标项目的电梯型号及数量清单进行报价，须按照每月/台费用，若在合同履行过程中不能按照月结算的，按照算的价格就是月价格除以30天，进行据实计算，如在合同履行过程中以报价太低存在亏损等原因不能提供服务或拖延提供服务时间的，采购人有权终止合同，给采购人造成损失的还应承担赔偿责任。</w:t>
      </w:r>
    </w:p>
    <w:p>
      <w:pPr>
        <w:pStyle w:val="19"/>
        <w:jc w:val="center"/>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纳入本次招标项目的电梯型号及数量</w:t>
      </w:r>
    </w:p>
    <w:tbl>
      <w:tblPr>
        <w:tblStyle w:val="7"/>
        <w:tblW w:w="0" w:type="auto"/>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45" w:type="dxa"/>
          <w:bottom w:w="0" w:type="dxa"/>
          <w:right w:w="45" w:type="dxa"/>
        </w:tblCellMar>
      </w:tblPr>
      <w:tblGrid>
        <w:gridCol w:w="436"/>
        <w:gridCol w:w="1020"/>
        <w:gridCol w:w="1482"/>
        <w:gridCol w:w="1487"/>
        <w:gridCol w:w="1180"/>
        <w:gridCol w:w="1204"/>
        <w:gridCol w:w="662"/>
        <w:gridCol w:w="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436"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序号</w:t>
            </w:r>
          </w:p>
        </w:tc>
        <w:tc>
          <w:tcPr>
            <w:tcW w:w="102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品牌</w:t>
            </w:r>
          </w:p>
        </w:tc>
        <w:tc>
          <w:tcPr>
            <w:tcW w:w="148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设备类别</w:t>
            </w:r>
          </w:p>
        </w:tc>
        <w:tc>
          <w:tcPr>
            <w:tcW w:w="1487"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型号</w:t>
            </w:r>
          </w:p>
        </w:tc>
        <w:tc>
          <w:tcPr>
            <w:tcW w:w="118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电梯</w:t>
            </w:r>
          </w:p>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编号</w:t>
            </w:r>
          </w:p>
        </w:tc>
        <w:tc>
          <w:tcPr>
            <w:tcW w:w="1204"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层/站</w:t>
            </w:r>
          </w:p>
        </w:tc>
        <w:tc>
          <w:tcPr>
            <w:tcW w:w="66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载重(RG)</w:t>
            </w:r>
          </w:p>
        </w:tc>
        <w:tc>
          <w:tcPr>
            <w:tcW w:w="76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速度(m/s)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436"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1</w:t>
            </w:r>
          </w:p>
        </w:tc>
        <w:tc>
          <w:tcPr>
            <w:tcW w:w="102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奥的斯</w:t>
            </w:r>
          </w:p>
        </w:tc>
        <w:tc>
          <w:tcPr>
            <w:tcW w:w="148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曳引驱动乘客电梯</w:t>
            </w:r>
          </w:p>
        </w:tc>
        <w:tc>
          <w:tcPr>
            <w:tcW w:w="1487" w:type="dxa"/>
            <w:tcMar>
              <w:top w:w="0" w:type="dxa"/>
              <w:left w:w="45" w:type="dxa"/>
              <w:bottom w:w="0" w:type="dxa"/>
              <w:right w:w="45" w:type="dxa"/>
            </w:tcMar>
            <w:vAlign w:val="top"/>
          </w:tcPr>
          <w:p>
            <w:pPr>
              <w:pStyle w:val="19"/>
              <w:jc w:val="center"/>
              <w:rPr>
                <w:rFonts w:hint="default"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sky</w:t>
            </w:r>
          </w:p>
        </w:tc>
        <w:tc>
          <w:tcPr>
            <w:tcW w:w="1180"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1</w:t>
            </w:r>
            <w:r>
              <w:rPr>
                <w:rFonts w:ascii="仿宋_GB2312" w:hAnsi="仿宋_GB2312" w:eastAsia="仿宋_GB2312"/>
                <w:color w:val="000000" w:themeColor="text1"/>
                <w:sz w:val="24"/>
                <w14:textFill>
                  <w14:solidFill>
                    <w14:schemeClr w14:val="tx1"/>
                  </w14:solidFill>
                </w14:textFill>
              </w:rPr>
              <w:t>#</w:t>
            </w:r>
          </w:p>
        </w:tc>
        <w:tc>
          <w:tcPr>
            <w:tcW w:w="1204"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9/9</w:t>
            </w:r>
          </w:p>
        </w:tc>
        <w:tc>
          <w:tcPr>
            <w:tcW w:w="66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1600</w:t>
            </w:r>
          </w:p>
        </w:tc>
        <w:tc>
          <w:tcPr>
            <w:tcW w:w="76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w:t>
            </w:r>
            <w:r>
              <w:rPr>
                <w:rFonts w:hint="eastAsia" w:ascii="仿宋_GB2312" w:hAnsi="仿宋_GB2312" w:eastAsia="仿宋_GB2312"/>
                <w:color w:val="000000" w:themeColor="text1"/>
                <w:sz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436"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2</w:t>
            </w:r>
          </w:p>
        </w:tc>
        <w:tc>
          <w:tcPr>
            <w:tcW w:w="102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奥的斯</w:t>
            </w:r>
          </w:p>
        </w:tc>
        <w:tc>
          <w:tcPr>
            <w:tcW w:w="148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曳引驱动乘客电梯</w:t>
            </w:r>
          </w:p>
        </w:tc>
        <w:tc>
          <w:tcPr>
            <w:tcW w:w="1487" w:type="dxa"/>
            <w:tcMar>
              <w:top w:w="0" w:type="dxa"/>
              <w:left w:w="45" w:type="dxa"/>
              <w:bottom w:w="0" w:type="dxa"/>
              <w:right w:w="45" w:type="dxa"/>
            </w:tcMar>
            <w:vAlign w:val="top"/>
          </w:tcPr>
          <w:p>
            <w:pPr>
              <w:pStyle w:val="19"/>
              <w:jc w:val="center"/>
              <w:rPr>
                <w:rFonts w:hint="default"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sky</w:t>
            </w:r>
          </w:p>
        </w:tc>
        <w:tc>
          <w:tcPr>
            <w:tcW w:w="1180"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2</w:t>
            </w:r>
            <w:r>
              <w:rPr>
                <w:rFonts w:ascii="仿宋_GB2312" w:hAnsi="仿宋_GB2312" w:eastAsia="仿宋_GB2312"/>
                <w:color w:val="000000" w:themeColor="text1"/>
                <w:sz w:val="24"/>
                <w14:textFill>
                  <w14:solidFill>
                    <w14:schemeClr w14:val="tx1"/>
                  </w14:solidFill>
                </w14:textFill>
              </w:rPr>
              <w:t>#</w:t>
            </w:r>
          </w:p>
        </w:tc>
        <w:tc>
          <w:tcPr>
            <w:tcW w:w="1204"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9/9</w:t>
            </w:r>
          </w:p>
        </w:tc>
        <w:tc>
          <w:tcPr>
            <w:tcW w:w="66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1600</w:t>
            </w:r>
          </w:p>
        </w:tc>
        <w:tc>
          <w:tcPr>
            <w:tcW w:w="76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w:t>
            </w:r>
            <w:r>
              <w:rPr>
                <w:rFonts w:hint="eastAsia" w:ascii="仿宋_GB2312" w:hAnsi="仿宋_GB2312" w:eastAsia="仿宋_GB2312"/>
                <w:color w:val="000000" w:themeColor="text1"/>
                <w:sz w:val="24"/>
                <w:lang w:val="en-US" w:eastAsia="zh-CN"/>
                <w14:textFill>
                  <w14:solidFill>
                    <w14:schemeClr w14:val="tx1"/>
                  </w14:solidFill>
                </w14:textFill>
              </w:rPr>
              <w:t>.0</w:t>
            </w:r>
          </w:p>
        </w:tc>
      </w:tr>
    </w:tbl>
    <w:p>
      <w:pPr>
        <w:pStyle w:val="19"/>
        <w:ind w:firstLine="480"/>
        <w:jc w:val="both"/>
        <w:rPr>
          <w:rFonts w:ascii="仿宋_GB2312" w:hAnsi="仿宋_GB2312" w:eastAsia="仿宋_GB2312"/>
          <w:color w:val="000000" w:themeColor="text1"/>
          <w:sz w:val="24"/>
          <w:shd w:val="clear" w:color="auto" w:fill="FFFFFF"/>
          <w14:textFill>
            <w14:solidFill>
              <w14:schemeClr w14:val="tx1"/>
            </w14:solidFill>
          </w14:textFill>
        </w:rPr>
      </w:pPr>
    </w:p>
    <w:p>
      <w:pPr>
        <w:pStyle w:val="19"/>
        <w:ind w:firstLine="321" w:firstLineChars="100"/>
        <w:jc w:val="both"/>
        <w:outlineLvl w:val="2"/>
        <w:rPr>
          <w:rFonts w:hint="eastAsia" w:ascii="仿宋_GB2312" w:hAnsi="仿宋_GB2312" w:eastAsia="仿宋_GB2312"/>
          <w:b/>
          <w:color w:val="000000" w:themeColor="text1"/>
          <w:sz w:val="32"/>
          <w:szCs w:val="32"/>
          <w:lang w:eastAsia="zh-CN"/>
          <w14:textFill>
            <w14:solidFill>
              <w14:schemeClr w14:val="tx1"/>
            </w14:solidFill>
          </w14:textFill>
        </w:rPr>
      </w:pPr>
      <w:r>
        <w:rPr>
          <w:rFonts w:hint="eastAsia" w:ascii="仿宋_GB2312" w:hAnsi="仿宋_GB2312" w:eastAsia="仿宋_GB2312"/>
          <w:b/>
          <w:color w:val="000000" w:themeColor="text1"/>
          <w:sz w:val="32"/>
          <w:szCs w:val="32"/>
          <w:lang w:eastAsia="zh-CN"/>
          <w14:textFill>
            <w14:solidFill>
              <w14:schemeClr w14:val="tx1"/>
            </w14:solidFill>
          </w14:textFill>
        </w:rPr>
        <w:t>（二）</w:t>
      </w:r>
      <w:r>
        <w:rPr>
          <w:rFonts w:ascii="仿宋_GB2312" w:hAnsi="仿宋_GB2312" w:eastAsia="仿宋_GB2312"/>
          <w:b/>
          <w:color w:val="000000" w:themeColor="text1"/>
          <w:sz w:val="32"/>
          <w:szCs w:val="32"/>
          <w14:textFill>
            <w14:solidFill>
              <w14:schemeClr w14:val="tx1"/>
            </w14:solidFill>
          </w14:textFill>
        </w:rPr>
        <w:t>技术和服务要求</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电梯维保内容及要求：</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1、维修保养的技术要求：现场维修人员必须依据编制的半月保养单、季度保养单、半年保养单及年度保养单内容对电梯进行保养维修完毕后，应清理干净现场并认真填写维修记录表，交采购人一份；及时与采购人交流和向项目负责人汇报电梯的安全状况。例行保养分为：第一次例行保养，第二次例行保养，三、四次重复一、二次内容。</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2.1第一次例行保养：清洁机房地面卫生，清洁曳引机、限速器、控制柜内的卫生，检查并坚固主电源、辅助电源、曳引机、控制柜中各接线端子；检查主电源及控制电源的熔断器，确保接触良好。检查曳引机减速，电动机的油位，温升，确保曳引机运行正常；检查并调整电梯制动器的制动闸瓦与制动轮盘的间隙，确保间隙不大于0.7mm（厂家有特殊要求除外），同时保证制动器工作灵活可靠。添加轿厢或对重油杯中的润滑油，使导轨润滑良好。添加滚动导靴中心轴的润滑油，使运转时无异响。添加限速器和限速器张紧轮轴承润滑油，使限速器系统工作正常。清洁轿顶，门头，门地坎和地坑的卫生。检查或调整各安全开关，试验各安全开关，确保功能正常。</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2.2第二次例行保养：</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2.2.1保养开门机系统：清洁开门机系统。紧固开门机系统各机械连接部件。检查并调整门扇的垂直度，门中缝的间隙是否符合要求。添加门机各机械传动部的润滑油。检查门机皮带的松紧及磨损，并视其情况处理。坚固门电机，门电阻的各螺栓。检查开关、减速器、门机限位开关是否完好；VVVF门机系统还应清洁旋转编码器；调整门刀的垂直度，同时保证门刀与厅门地坎间隙在5-10mm。</w:t>
      </w:r>
      <w:r>
        <w:rPr>
          <w:rFonts w:ascii="仿宋_GB2312" w:hAnsi="仿宋_GB2312" w:eastAsia="仿宋_GB2312"/>
          <w:color w:val="000000" w:themeColor="text1"/>
          <w:sz w:val="32"/>
          <w:szCs w:val="32"/>
          <w14:textFill>
            <w14:solidFill>
              <w14:schemeClr w14:val="tx1"/>
            </w14:solidFill>
          </w14:textFill>
        </w:rPr>
        <w:br w:type="textWrapping"/>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ascii="仿宋_GB2312" w:hAnsi="仿宋_GB2312" w:eastAsia="仿宋_GB2312"/>
          <w:color w:val="000000" w:themeColor="text1"/>
          <w:sz w:val="32"/>
          <w:szCs w:val="32"/>
          <w14:textFill>
            <w14:solidFill>
              <w14:schemeClr w14:val="tx1"/>
            </w14:solidFill>
          </w14:textFill>
        </w:rPr>
        <w:t>2.2.2保养厅门系统：调整厅门系统，确保门扇与门扇的间隙1-6mm，门扇下端与地坎的间隙1-6mm门锁在电气接触前齿合量不小于7mm。确保门电气联锁装置安全可靠。厅门自动关门装置有效。添除厅门门滑道上的润滑脂，使开关门灵活可靠。</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2.2.3保养门保护系统：清洁光幕上的积尘，确保安全可靠，使用可靠。保养轿内、外呼梯按钮、层显，确保完好可靠。</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2.2.4季度保养：</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2.2.4.1添加曳引轮轴承、导向轮轴承、轿顶道绳轮轴承、对重道绳轮轴承的润滑油，确保务轴承润滑良好。保养选层系统，使选层器的动作准确可靠。保养并调整井道传感器，确保平层准确可靠。清洁曳引绳油污，调整曳引绳的张力，使受力偏差在5%以内。</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2.2.4.2检查曳引绳组合是否完好，曳引绳有无断丝、断股现象。检查曳引绳的伸长长度是否超出越程要求，不符合的调整曳引绳长短。清洁导靴和靴衬，磨损严惩的靴衬予以更换，滚动导靴滚轮开胶断裂严重的予以更换。电梯运行左右晃动的，适当调整导靴与导轨的间隙，检查对重铁压板有无松动。</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2.2.4.3清洁安全钳钳口油污，检查并调整安全钳楔块与导轨侧面的间隙，使其符号要求，调试后，并用慢车手动试验安全钳及安全钳开关的可靠性。保养缓冲器，确保弹性缓冲器无锈蚀，油压缓冲器油位正常，缓冲器开关有效。检查、调整并试验各安全开关，确保安全开关完好、有效，检查限位和极限距离符合要求：限位：50-80mm，极限1</w:t>
      </w:r>
      <w:r>
        <w:rPr>
          <w:rFonts w:hint="eastAsia" w:ascii="仿宋_GB2312" w:hAnsi="仿宋_GB2312" w:eastAsia="仿宋_GB2312"/>
          <w:color w:val="000000" w:themeColor="text1"/>
          <w:sz w:val="32"/>
          <w:szCs w:val="32"/>
          <w:lang w:eastAsia="zh-CN"/>
          <w14:textFill>
            <w14:solidFill>
              <w14:schemeClr w14:val="tx1"/>
            </w14:solidFill>
          </w14:textFill>
        </w:rPr>
        <w:t>60</w:t>
      </w:r>
      <w:r>
        <w:rPr>
          <w:rFonts w:ascii="仿宋_GB2312" w:hAnsi="仿宋_GB2312" w:eastAsia="仿宋_GB2312"/>
          <w:color w:val="000000" w:themeColor="text1"/>
          <w:sz w:val="32"/>
          <w:szCs w:val="32"/>
          <w14:textFill>
            <w14:solidFill>
              <w14:schemeClr w14:val="tx1"/>
            </w14:solidFill>
          </w14:textFill>
        </w:rPr>
        <w:t>-150mm。</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2.2.5年检维修保养：</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2.2.5.1针对主管部门对电梯每年一次的安全检验而进行适当的保养、修理，达到《电梯安全技术检验报告书》中规定的项目和标准要求，整改项目不多于8项。</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2.2.5.2更换曳引机减速中的油（厂家对油的种类及换油期有规定的除外）。清洁电磁抱闸铁芯，并添加适当适量的润滑剂。调整电磁抱闸制动弹簧，使制动闸瓦与制动面的间隙不大于0.7mm（厂家有规定的除外），确保电梯平层准确，制动可靠（制动闸瓦磨损严重的予以更换）。</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2.2.5.3清洁限速器，添加限速器中心轴承的润滑油（调整、试验两项由国家定点专检机构执行，每两年一次），清洗、调整、试验、润滑安全钳机构，确保安全钳楔块与导轨侧面的间隙，左右均匀，慢车试验安全钳，能可靠工作符合要求。清洁、调整、试验各厅门、轿门门锁、确保厅、轿门锁各项检测指标符合要求，清洁油压缓冲器的油污，检查缓冲器油位，确保油位正常，试验缓冲开关，确保其有效性。</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2.2.5.4添刷弹性缓冲器上的防锈器。保养曳引绳组合，保证各绳头组合牢固、安全、有效。检查并调整轿厢或对重的导靴，使电梯运行平稳（磨损严重的予以更换），滚动导靴开胶断裂的也应予以更换。检查对重铁锁等装置是否牢固。检查并坚固电缆支架，电缆与井道或轿厢边沿有无碰撞。检查补偿装置连接件是否完好有效，补偿链过长的予以调整。</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2.2.5.5检查曳引绳的伸长量是否超过轿厢上下极限的越程距离。对电梯测试</w:t>
      </w:r>
      <w:r>
        <w:rPr>
          <w:rFonts w:hint="eastAsia" w:ascii="仿宋_GB2312" w:hAnsi="仿宋_GB2312" w:eastAsia="仿宋_GB2312"/>
          <w:color w:val="000000" w:themeColor="text1"/>
          <w:sz w:val="32"/>
          <w:szCs w:val="32"/>
          <w:lang w:eastAsia="zh-CN"/>
          <w14:textFill>
            <w14:solidFill>
              <w14:schemeClr w14:val="tx1"/>
            </w14:solidFill>
          </w14:textFill>
        </w:rPr>
        <w:t>，</w:t>
      </w:r>
      <w:r>
        <w:rPr>
          <w:rFonts w:ascii="仿宋_GB2312" w:hAnsi="仿宋_GB2312" w:eastAsia="仿宋_GB2312"/>
          <w:color w:val="000000" w:themeColor="text1"/>
          <w:sz w:val="32"/>
          <w:szCs w:val="32"/>
          <w14:textFill>
            <w14:solidFill>
              <w14:schemeClr w14:val="tx1"/>
            </w14:solidFill>
          </w14:textFill>
        </w:rPr>
        <w:t>一次接地电阻（阻值不小于4Ω），测试各部位绝缘电阻（动力阻值不小于0.8MΩ，其它回路不小于0.25 MΩ）有微机控制的，应先拆出微机控制系统后才能测。</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3、报修方面：</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3.1接到报修电话后</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分钟赶到现场实施检修（如遇关人</w:t>
      </w:r>
      <w:r>
        <w:rPr>
          <w:rFonts w:hint="eastAsia" w:ascii="仿宋_GB2312" w:hAnsi="仿宋_GB2312" w:eastAsia="仿宋_GB2312"/>
          <w:color w:val="000000" w:themeColor="text1"/>
          <w:sz w:val="32"/>
          <w:lang w:val="en-US" w:eastAsia="zh-CN"/>
          <w14:textFill>
            <w14:solidFill>
              <w14:schemeClr w14:val="tx1"/>
            </w14:solidFill>
          </w14:textFill>
        </w:rPr>
        <w:t>30</w:t>
      </w:r>
      <w:r>
        <w:rPr>
          <w:rFonts w:ascii="仿宋_GB2312" w:hAnsi="仿宋_GB2312" w:eastAsia="仿宋_GB2312"/>
          <w:color w:val="000000" w:themeColor="text1"/>
          <w:sz w:val="32"/>
          <w14:textFill>
            <w14:solidFill>
              <w14:schemeClr w14:val="tx1"/>
            </w14:solidFill>
          </w14:textFill>
        </w:rPr>
        <w:t>分钟赶到现场</w:t>
      </w:r>
      <w:r>
        <w:rPr>
          <w:rFonts w:ascii="仿宋_GB2312" w:hAnsi="仿宋_GB2312" w:eastAsia="仿宋_GB2312"/>
          <w:color w:val="000000" w:themeColor="text1"/>
          <w:sz w:val="32"/>
          <w:szCs w:val="32"/>
          <w14:textFill>
            <w14:solidFill>
              <w14:schemeClr w14:val="tx1"/>
            </w14:solidFill>
          </w14:textFill>
        </w:rPr>
        <w:t>），并依照紧急故障处理流程进行处理确保电梯完好和正常运行。</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3.2电梯出现故障，必须换配件时，为了不影响运行造成停梯，要求中标人应立即组织相关人员确认，迅速更备件修复电梯。如是特殊备件或进口件而暂未到货，用非原装配件临时代替的，应采购人同意，方可使用，但必须确保安全，原装配件到货后立即更换。</w:t>
      </w:r>
    </w:p>
    <w:p>
      <w:pPr>
        <w:pStyle w:val="19"/>
        <w:ind w:firstLine="643"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4、</w:t>
      </w:r>
      <w:r>
        <w:rPr>
          <w:rFonts w:ascii="仿宋_GB2312" w:hAnsi="仿宋_GB2312" w:eastAsia="仿宋_GB2312"/>
          <w:color w:val="000000" w:themeColor="text1"/>
          <w:sz w:val="32"/>
          <w14:textFill>
            <w14:solidFill>
              <w14:schemeClr w14:val="tx1"/>
            </w14:solidFill>
          </w14:textFill>
        </w:rPr>
        <w:t>现场24小时不中断</w:t>
      </w:r>
      <w:r>
        <w:rPr>
          <w:rFonts w:hint="eastAsia" w:ascii="仿宋_GB2312" w:hAnsi="仿宋_GB2312" w:eastAsia="仿宋_GB2312"/>
          <w:color w:val="000000" w:themeColor="text1"/>
          <w:sz w:val="32"/>
          <w:lang w:eastAsia="zh-CN"/>
          <w14:textFill>
            <w14:solidFill>
              <w14:schemeClr w14:val="tx1"/>
            </w14:solidFill>
          </w14:textFill>
        </w:rPr>
        <w:t>紧</w:t>
      </w:r>
      <w:r>
        <w:rPr>
          <w:rFonts w:ascii="仿宋_GB2312" w:hAnsi="仿宋_GB2312" w:eastAsia="仿宋_GB2312"/>
          <w:color w:val="000000" w:themeColor="text1"/>
          <w:sz w:val="32"/>
          <w14:textFill>
            <w14:solidFill>
              <w14:schemeClr w14:val="tx1"/>
            </w14:solidFill>
          </w14:textFill>
        </w:rPr>
        <w:t>急修服务。保养时间安排以有利于物业管理与服务的日期、时段进行，具体保养时间双方协商确定。</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5、24小时故障处理</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5.1普通故障处理：任何时间段电梯一旦有故障发生时，维保人员应在</w:t>
      </w:r>
      <w:r>
        <w:rPr>
          <w:rFonts w:hint="eastAsia" w:ascii="仿宋_GB2312" w:hAnsi="仿宋_GB2312" w:eastAsia="仿宋_GB2312"/>
          <w:color w:val="000000" w:themeColor="text1"/>
          <w:sz w:val="32"/>
          <w:lang w:val="en-US"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w:t>
      </w:r>
      <w:r>
        <w:rPr>
          <w:rFonts w:ascii="仿宋_GB2312" w:hAnsi="仿宋_GB2312" w:eastAsia="仿宋_GB2312"/>
          <w:color w:val="000000" w:themeColor="text1"/>
          <w:sz w:val="32"/>
          <w:szCs w:val="32"/>
          <w14:textFill>
            <w14:solidFill>
              <w14:schemeClr w14:val="tx1"/>
            </w14:solidFill>
          </w14:textFill>
        </w:rPr>
        <w:t>内赶赴，及时处理电梯故障。修理完成后填写“急修及处理纪录”，如发生更换零部件，填写“零部件更换纪录表”，并由中标人指定人员核查签认，如急修工作发生在深夜不方便签证应在次日办理上述有关手续。</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5.2特殊故障处理：现场发生特殊故障，现场维修人员短时无法解决，将通知中标人工程部，由工程部另行派遣技术人员赴现场处理，以尽快排除故障，恢复电梯正常运行。如发生重大故障，则立即启动中标人应急预案组织人员进行抢修。</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5.3关人故障处理：当发生关人故障时，现场维保人员立即进行紧急放人操作，并查明故障产生原因，根除故障防止同一故障的再次发生。</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5.4维护保养：中标人需按照电梯维保技术工艺要求，对电梯进行维护保养。每月例行保养次数不少于二次，间隙时间不大于15天。每次保养结束，将保养的内容、时间、梯号等相关纪录填入“电梯维修保养纪录”，由采购人管理方指定人员核查并签认。</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5.5中标人必需做到小修24小时内完成；中修36小时内完成；大修72小时内完成。</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6、维保服务要求</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6.1中标人负责电梯日常维护保养，确保电梯安全、舒适、可靠的运行；按期完成电梯半月、季度、半年的维保项目；及时处理电梯出现的故障。每台电梯全年维保数量不低于二十五次。</w:t>
      </w:r>
    </w:p>
    <w:p>
      <w:pPr>
        <w:pStyle w:val="19"/>
        <w:ind w:firstLine="800" w:firstLineChars="25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6.2提供24小时的应急响应服务，且能在接到故障或事故报警后</w:t>
      </w:r>
      <w:r>
        <w:rPr>
          <w:rFonts w:hint="eastAsia" w:ascii="仿宋_GB2312" w:hAnsi="仿宋_GB2312" w:eastAsia="仿宋_GB2312"/>
          <w:color w:val="000000" w:themeColor="text1"/>
          <w:sz w:val="32"/>
          <w:lang w:val="en-US"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分钟内到达现场，并能提供正常连续的服务直至故障排除。对电梯困人事故要求在到达现场后</w:t>
      </w:r>
      <w:r>
        <w:rPr>
          <w:rFonts w:hint="eastAsia" w:ascii="仿宋_GB2312" w:hAnsi="仿宋_GB2312" w:eastAsia="仿宋_GB2312"/>
          <w:color w:val="000000" w:themeColor="text1"/>
          <w:sz w:val="32"/>
          <w:lang w:val="en-US" w:eastAsia="zh-CN"/>
          <w14:textFill>
            <w14:solidFill>
              <w14:schemeClr w14:val="tx1"/>
            </w14:solidFill>
          </w14:textFill>
        </w:rPr>
        <w:t>30</w:t>
      </w:r>
      <w:r>
        <w:rPr>
          <w:rFonts w:ascii="仿宋_GB2312" w:hAnsi="仿宋_GB2312" w:eastAsia="仿宋_GB2312"/>
          <w:color w:val="000000" w:themeColor="text1"/>
          <w:sz w:val="32"/>
          <w14:textFill>
            <w14:solidFill>
              <w14:schemeClr w14:val="tx1"/>
            </w14:solidFill>
          </w14:textFill>
        </w:rPr>
        <w:t>分钟内把乘客从轿厢中救出、对非电子板原因的常见故障要求在1</w:t>
      </w:r>
      <w:r>
        <w:rPr>
          <w:rFonts w:hint="eastAsia" w:ascii="仿宋_GB2312" w:hAnsi="仿宋_GB2312" w:eastAsia="仿宋_GB2312"/>
          <w:color w:val="000000" w:themeColor="text1"/>
          <w:sz w:val="32"/>
          <w:lang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分钟内排除，对电子板原因的故障应在普遍认可的合理时间内解决。提供24小时应急服务，电梯的紧急困人故障应</w:t>
      </w:r>
      <w:r>
        <w:rPr>
          <w:rFonts w:hint="eastAsia" w:ascii="仿宋_GB2312" w:hAnsi="仿宋_GB2312" w:eastAsia="仿宋_GB2312"/>
          <w:color w:val="000000" w:themeColor="text1"/>
          <w:sz w:val="32"/>
          <w:lang w:val="en-US" w:eastAsia="zh-CN"/>
          <w14:textFill>
            <w14:solidFill>
              <w14:schemeClr w14:val="tx1"/>
            </w14:solidFill>
          </w14:textFill>
        </w:rPr>
        <w:t>30</w:t>
      </w:r>
      <w:r>
        <w:rPr>
          <w:rFonts w:ascii="仿宋_GB2312" w:hAnsi="仿宋_GB2312" w:eastAsia="仿宋_GB2312"/>
          <w:color w:val="000000" w:themeColor="text1"/>
          <w:sz w:val="32"/>
          <w14:textFill>
            <w14:solidFill>
              <w14:schemeClr w14:val="tx1"/>
            </w14:solidFill>
          </w14:textFill>
        </w:rPr>
        <w:t>分钟内赶到现场救援并及时排除故障。</w:t>
      </w:r>
      <w:r>
        <w:rPr>
          <w:rFonts w:ascii="仿宋_GB2312" w:hAnsi="仿宋_GB2312" w:eastAsia="仿宋_GB2312"/>
          <w:color w:val="000000" w:themeColor="text1"/>
          <w:sz w:val="32"/>
          <w:szCs w:val="32"/>
          <w14:textFill>
            <w14:solidFill>
              <w14:schemeClr w14:val="tx1"/>
            </w14:solidFill>
          </w14:textFill>
        </w:rPr>
        <w:t>建立电梯维护保养记录和档案实行双方签字记录制度。</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6.3中标人负责联系电梯生产厂家提供编程、解码等技术服务，中标人更换的所有零配件交给中标人保存，能修复的由中标人负责维修，维修好后交中标人保管，并与采购方管理人员确认。维修好的零配件作为中标人的备用件使用。保证零部件质量和技术保障及时到位，若电梯出现故障，中标人应首先以最短时间恢复电梯的正常运行。发现电梯事故隐患及时通知中标人，共同找出处理解决故障的方法。</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6.4中标人应该积极配合特检单位做好电梯年检，费用由采购人负责，因年检不合格产生的复检费由中标人承担，配合质监部门做好电梯安全检查，并对存在问题进行整改。</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6.5中标人因电梯维护工作问题或工作失误造成电梯损坏及由此产生的人身伤害赔偿、电梯维修费等由中标人承担，造成的安全责任事故由中标人承担，如因使用不当造成电梯故障或损坏，中标人有责任负责及时将其修复或更换，使电梯恢复安全、正常运行。</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6.</w:t>
      </w:r>
      <w:r>
        <w:rPr>
          <w:rFonts w:hint="eastAsia" w:ascii="仿宋_GB2312" w:hAnsi="仿宋_GB2312" w:eastAsia="仿宋_GB2312"/>
          <w:color w:val="000000" w:themeColor="text1"/>
          <w:sz w:val="32"/>
          <w:lang w:val="en-US" w:eastAsia="zh-CN"/>
          <w14:textFill>
            <w14:solidFill>
              <w14:schemeClr w14:val="tx1"/>
            </w14:solidFill>
          </w14:textFill>
        </w:rPr>
        <w:t>7</w:t>
      </w:r>
      <w:r>
        <w:rPr>
          <w:rFonts w:ascii="仿宋_GB2312" w:hAnsi="仿宋_GB2312" w:eastAsia="仿宋_GB2312"/>
          <w:color w:val="000000" w:themeColor="text1"/>
          <w:sz w:val="32"/>
          <w:szCs w:val="32"/>
          <w14:textFill>
            <w14:solidFill>
              <w14:schemeClr w14:val="tx1"/>
            </w14:solidFill>
          </w14:textFill>
        </w:rPr>
        <w:t>提供24小时全年无障碍应急维修服务，应当安排好日常、节假日的应急维修服务的值班人员。</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6.8特种设备检察院检察电梯时应提供维保单位维修、保养资质证书，并配备配合检验的维保人员，无条件按照采购人要求，配合特种设备检察。</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7、其它：</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7.1中标人在签订合同后的7个工作日内要对维保电梯进行检查，确认现有电梯故障、配件是否均按照国家规定修复、更换完成。对存在的问题以书面报告的形式提交给业主。若未在7个工作日内按要求提交书面报告，后续所有电梯故障、配件更换由中标人自行承担。</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7.2电梯发生困人故障，中标人未能在规定到达现场救援的，每次罚款</w:t>
      </w:r>
      <w:r>
        <w:rPr>
          <w:rFonts w:hint="eastAsia" w:ascii="仿宋_GB2312" w:hAnsi="仿宋_GB2312" w:eastAsia="仿宋_GB2312"/>
          <w:color w:val="000000" w:themeColor="text1"/>
          <w:sz w:val="32"/>
          <w:lang w:val="en-US" w:eastAsia="zh-CN"/>
          <w14:textFill>
            <w14:solidFill>
              <w14:schemeClr w14:val="tx1"/>
            </w14:solidFill>
          </w14:textFill>
        </w:rPr>
        <w:t>200</w:t>
      </w:r>
      <w:r>
        <w:rPr>
          <w:rFonts w:ascii="仿宋_GB2312" w:hAnsi="仿宋_GB2312" w:eastAsia="仿宋_GB2312"/>
          <w:color w:val="000000" w:themeColor="text1"/>
          <w:sz w:val="32"/>
          <w14:textFill>
            <w14:solidFill>
              <w14:schemeClr w14:val="tx1"/>
            </w14:solidFill>
          </w14:textFill>
        </w:rPr>
        <w:t>元，超过一分钟罚款</w:t>
      </w:r>
      <w:r>
        <w:rPr>
          <w:rFonts w:hint="eastAsia" w:ascii="仿宋_GB2312" w:hAnsi="仿宋_GB2312" w:eastAsia="仿宋_GB2312"/>
          <w:color w:val="000000" w:themeColor="text1"/>
          <w:sz w:val="32"/>
          <w:lang w:val="en-US" w:eastAsia="zh-CN"/>
          <w14:textFill>
            <w14:solidFill>
              <w14:schemeClr w14:val="tx1"/>
            </w14:solidFill>
          </w14:textFill>
        </w:rPr>
        <w:t>50</w:t>
      </w:r>
      <w:r>
        <w:rPr>
          <w:rFonts w:ascii="仿宋_GB2312" w:hAnsi="仿宋_GB2312" w:eastAsia="仿宋_GB2312"/>
          <w:color w:val="000000" w:themeColor="text1"/>
          <w:sz w:val="32"/>
          <w14:textFill>
            <w14:solidFill>
              <w14:schemeClr w14:val="tx1"/>
            </w14:solidFill>
          </w14:textFill>
        </w:rPr>
        <w:t>元，超过15分钟以上扣除当月维保费50%，电梯发生一般故障，中标人未能在约定到达现场处理的的，每次罚款</w:t>
      </w:r>
      <w:r>
        <w:rPr>
          <w:rFonts w:hint="eastAsia" w:ascii="仿宋_GB2312" w:hAnsi="仿宋_GB2312" w:eastAsia="仿宋_GB2312"/>
          <w:color w:val="000000" w:themeColor="text1"/>
          <w:sz w:val="32"/>
          <w:lang w:val="en-US" w:eastAsia="zh-CN"/>
          <w14:textFill>
            <w14:solidFill>
              <w14:schemeClr w14:val="tx1"/>
            </w14:solidFill>
          </w14:textFill>
        </w:rPr>
        <w:t>200</w:t>
      </w:r>
      <w:r>
        <w:rPr>
          <w:rFonts w:ascii="仿宋_GB2312" w:hAnsi="仿宋_GB2312" w:eastAsia="仿宋_GB2312"/>
          <w:color w:val="000000" w:themeColor="text1"/>
          <w:sz w:val="32"/>
          <w14:textFill>
            <w14:solidFill>
              <w14:schemeClr w14:val="tx1"/>
            </w14:solidFill>
          </w14:textFill>
        </w:rPr>
        <w:t>元，超过1分钟罚款</w:t>
      </w:r>
      <w:r>
        <w:rPr>
          <w:rFonts w:hint="eastAsia" w:ascii="仿宋_GB2312" w:hAnsi="仿宋_GB2312" w:eastAsia="仿宋_GB2312"/>
          <w:color w:val="000000" w:themeColor="text1"/>
          <w:sz w:val="32"/>
          <w:lang w:val="en-US" w:eastAsia="zh-CN"/>
          <w14:textFill>
            <w14:solidFill>
              <w14:schemeClr w14:val="tx1"/>
            </w14:solidFill>
          </w14:textFill>
        </w:rPr>
        <w:t>50</w:t>
      </w:r>
      <w:r>
        <w:rPr>
          <w:rFonts w:ascii="仿宋_GB2312" w:hAnsi="仿宋_GB2312" w:eastAsia="仿宋_GB2312"/>
          <w:color w:val="000000" w:themeColor="text1"/>
          <w:sz w:val="32"/>
          <w14:textFill>
            <w14:solidFill>
              <w14:schemeClr w14:val="tx1"/>
            </w14:solidFill>
          </w14:textFill>
        </w:rPr>
        <w:t>元，超过30分钟以上扣除当月维保费50%。电梯未在规定时间内完成维护保养，每次每台罚款</w:t>
      </w:r>
      <w:r>
        <w:rPr>
          <w:rFonts w:hint="eastAsia" w:ascii="仿宋_GB2312" w:hAnsi="仿宋_GB2312" w:eastAsia="仿宋_GB2312"/>
          <w:color w:val="000000" w:themeColor="text1"/>
          <w:sz w:val="32"/>
          <w:lang w:val="en-US" w:eastAsia="zh-CN"/>
          <w14:textFill>
            <w14:solidFill>
              <w14:schemeClr w14:val="tx1"/>
            </w14:solidFill>
          </w14:textFill>
        </w:rPr>
        <w:t>200</w:t>
      </w:r>
      <w:r>
        <w:rPr>
          <w:rFonts w:ascii="仿宋_GB2312" w:hAnsi="仿宋_GB2312" w:eastAsia="仿宋_GB2312"/>
          <w:color w:val="000000" w:themeColor="text1"/>
          <w:sz w:val="32"/>
          <w14:textFill>
            <w14:solidFill>
              <w14:schemeClr w14:val="tx1"/>
            </w14:solidFill>
          </w14:textFill>
        </w:rPr>
        <w:t>元，因中标人未按规范要求维护保养，电梯每月的困人次数不超过2次，超过2次，每多1次扣当月维保费的10%，多2次扣当月维保费的</w:t>
      </w:r>
      <w:r>
        <w:rPr>
          <w:rFonts w:hint="eastAsia" w:ascii="仿宋_GB2312" w:hAnsi="仿宋_GB2312" w:eastAsia="仿宋_GB2312"/>
          <w:color w:val="000000" w:themeColor="text1"/>
          <w:sz w:val="32"/>
          <w:lang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w:t>
      </w:r>
      <w:r>
        <w:rPr>
          <w:rFonts w:hint="eastAsia" w:ascii="仿宋_GB2312" w:hAnsi="仿宋_GB2312" w:eastAsia="仿宋_GB2312"/>
          <w:color w:val="000000" w:themeColor="text1"/>
          <w:sz w:val="32"/>
          <w:lang w:eastAsia="zh-CN"/>
          <w14:textFill>
            <w14:solidFill>
              <w14:schemeClr w14:val="tx1"/>
            </w14:solidFill>
          </w14:textFill>
        </w:rPr>
        <w:t>三次以上采购人可提出解除合同</w:t>
      </w:r>
      <w:r>
        <w:rPr>
          <w:rFonts w:ascii="仿宋_GB2312" w:hAnsi="仿宋_GB2312" w:eastAsia="仿宋_GB2312"/>
          <w:color w:val="000000" w:themeColor="text1"/>
          <w:sz w:val="32"/>
          <w14:textFill>
            <w14:solidFill>
              <w14:schemeClr w14:val="tx1"/>
            </w14:solidFill>
          </w14:textFill>
        </w:rPr>
        <w:t>；采购人对中标人以上行为处罚时</w:t>
      </w:r>
      <w:r>
        <w:rPr>
          <w:rFonts w:ascii="仿宋_GB2312" w:hAnsi="仿宋_GB2312" w:eastAsia="仿宋_GB2312"/>
          <w:color w:val="000000" w:themeColor="text1"/>
          <w:sz w:val="32"/>
          <w:szCs w:val="32"/>
          <w14:textFill>
            <w14:solidFill>
              <w14:schemeClr w14:val="tx1"/>
            </w14:solidFill>
          </w14:textFill>
        </w:rPr>
        <w:t>，应书面通知中标人。采购方查岗，若出现以上情形，也按照以上标准处理。（通知方式采购方管理人员电话及微信）。</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8、投标人按《中华人民共和国特种设备安全法》《福建省电梯安全管理条例》等国家行业及生产厂家保养规范进行全面维修保养，确保电梯正常运行。每月对电梯进行常规检查和例行保养。实施日常保养后的电梯应当符合《电梯维修规范》（GB/T18775）《电梯制造与安装安全规范》（GB 7588）和《自动扶梯、垃圾梯和自动人行道的制造与安装安全规范》（GB 16899）的相关规定。保养方式全包形式：提供维保所需工具和劳务，并免费</w:t>
      </w:r>
      <w:r>
        <w:rPr>
          <w:rFonts w:hint="eastAsia" w:ascii="仿宋_GB2312" w:hAnsi="仿宋_GB2312" w:eastAsia="仿宋_GB2312"/>
          <w:color w:val="000000" w:themeColor="text1"/>
          <w:sz w:val="32"/>
          <w:lang w:eastAsia="zh-CN"/>
          <w14:textFill>
            <w14:solidFill>
              <w14:schemeClr w14:val="tx1"/>
            </w14:solidFill>
          </w14:textFill>
        </w:rPr>
        <w:t>提供</w:t>
      </w:r>
      <w:r>
        <w:rPr>
          <w:rFonts w:ascii="仿宋_GB2312" w:hAnsi="仿宋_GB2312" w:eastAsia="仿宋_GB2312"/>
          <w:color w:val="000000" w:themeColor="text1"/>
          <w:sz w:val="32"/>
          <w14:textFill>
            <w14:solidFill>
              <w14:schemeClr w14:val="tx1"/>
            </w14:solidFill>
          </w14:textFill>
        </w:rPr>
        <w:t>电梯零部件；</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8.</w:t>
      </w:r>
      <w:r>
        <w:rPr>
          <w:rFonts w:hint="eastAsia" w:ascii="仿宋_GB2312" w:hAnsi="仿宋_GB2312" w:eastAsia="仿宋_GB2312"/>
          <w:color w:val="000000" w:themeColor="text1"/>
          <w:sz w:val="32"/>
          <w:szCs w:val="32"/>
          <w:lang w:val="en-US" w:eastAsia="zh-CN"/>
          <w14:textFill>
            <w14:solidFill>
              <w14:schemeClr w14:val="tx1"/>
            </w14:solidFill>
          </w14:textFill>
        </w:rPr>
        <w:t>1</w:t>
      </w:r>
      <w:r>
        <w:rPr>
          <w:rFonts w:ascii="仿宋_GB2312" w:hAnsi="仿宋_GB2312" w:eastAsia="仿宋_GB2312"/>
          <w:color w:val="000000" w:themeColor="text1"/>
          <w:sz w:val="32"/>
          <w:szCs w:val="32"/>
          <w14:textFill>
            <w14:solidFill>
              <w14:schemeClr w14:val="tx1"/>
            </w14:solidFill>
          </w14:textFill>
        </w:rPr>
        <w:t>电梯保养计划样表（中标人可根据福建省特种设备检验研究院相关检验标准提供更优保养服务）</w:t>
      </w:r>
    </w:p>
    <w:tbl>
      <w:tblPr>
        <w:tblStyle w:val="7"/>
        <w:tblW w:w="0" w:type="auto"/>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5" w:type="dxa"/>
          <w:bottom w:w="0" w:type="dxa"/>
          <w:right w:w="15" w:type="dxa"/>
        </w:tblCellMar>
      </w:tblPr>
      <w:tblGrid>
        <w:gridCol w:w="835"/>
        <w:gridCol w:w="718"/>
        <w:gridCol w:w="6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序号</w:t>
            </w:r>
          </w:p>
        </w:tc>
        <w:tc>
          <w:tcPr>
            <w:tcW w:w="7465" w:type="dxa"/>
            <w:gridSpan w:val="2"/>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保养内容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1.运行检查</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外呼按钮, 楼层显示、轿内显示及按钮检查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轿厢光栅保护测试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轿箱平层/再平层功能检查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操纵盘和轿厢照明检查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运行噪音及平稳行检查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起、制动、停层平稳行检查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开、关门噪音检查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轿箱抽风系统检查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应急照明及对讲机检查试验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轿箱警告标语及乘客须知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2.机房保养</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机房清洁，机房各安全警告牌及消防设备检查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紧急呼叫及对讲系统测试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检查钢丝绳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制动器间隙和制动力可靠性检查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齿轮箱、曳引轮、导向轮清洁润滑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齿轮箱润滑油检查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控制柜主开关、检修开关测试、保险管检查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旋转编码器运转情况检查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限速器运转和钢丝绳状况检查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hint="eastAsia" w:ascii="仿宋_GB2312" w:hAnsi="仿宋_GB2312" w:eastAsia="仿宋_GB2312"/>
                <w:color w:val="000000" w:themeColor="text1"/>
                <w:sz w:val="24"/>
                <w:lang w:eastAsia="zh-CN"/>
                <w14:textFill>
                  <w14:solidFill>
                    <w14:schemeClr w14:val="tx1"/>
                  </w14:solidFill>
                </w14:textFill>
              </w:rPr>
            </w:pPr>
            <w:r>
              <w:rPr>
                <w:rFonts w:hint="eastAsia" w:ascii="仿宋_GB2312" w:hAnsi="仿宋_GB2312" w:eastAsia="仿宋_GB2312"/>
                <w:color w:val="000000" w:themeColor="text1"/>
                <w:sz w:val="24"/>
                <w:lang w:eastAsia="zh-CN"/>
                <w14:textFill>
                  <w14:solidFill>
                    <w14:schemeClr w14:val="tx1"/>
                  </w14:solidFill>
                </w14:textFill>
              </w:rPr>
              <w:t>60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主接触器检查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清理控制柜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检查各主电源电线是否松动、变色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3.井道和轿厢</w:t>
            </w:r>
          </w:p>
          <w:p>
            <w:pPr>
              <w:pStyle w:val="19"/>
              <w:jc w:val="center"/>
              <w:rPr>
                <w:rFonts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EMR（电梯应急装置）测试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清洁及井道照明灯检查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上、下终端开关测试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COP控制开关测试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缓冲器开关测试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安全钳开关测试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安全钳功能测试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轿顶检修开关和插座测试、轿顶工作照明检查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轿门开、关门测试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检查调整门锁钩及钢丝绳检查、调整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清洁厅门地坎、各层门门滑块检查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检查轿厢和对重曳引绳头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检查轿厢和对重导靴、油位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补偿绳和随行电缆距离检查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楼层选择器检查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各层门装置及内外门导轨清理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钢丝绳涨力调整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4.井道底坑</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井道、底坑清洁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缓冲器距离测试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涨紧装置离地高度和开关调整、测试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上、下终端开关测试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底坑急停开关动作测试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hint="eastAsia" w:ascii="仿宋_GB2312" w:hAnsi="仿宋_GB2312" w:eastAsia="仿宋_GB2312"/>
                <w:color w:val="000000" w:themeColor="text1"/>
                <w:sz w:val="24"/>
                <w:lang w:eastAsia="zh-CN"/>
                <w14:textFill>
                  <w14:solidFill>
                    <w14:schemeClr w14:val="tx1"/>
                  </w14:solidFill>
                </w14:textFill>
              </w:rPr>
            </w:pPr>
            <w:r>
              <w:rPr>
                <w:rFonts w:hint="eastAsia" w:ascii="仿宋_GB2312" w:hAnsi="仿宋_GB2312" w:eastAsia="仿宋_GB2312"/>
                <w:color w:val="000000" w:themeColor="text1"/>
                <w:sz w:val="24"/>
                <w:lang w:eastAsia="zh-CN"/>
                <w14:textFill>
                  <w14:solidFill>
                    <w14:schemeClr w14:val="tx1"/>
                  </w14:solidFill>
                </w14:textFill>
              </w:rPr>
              <w:t>60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轿厢零位调整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随行电缆运行检查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底坑照明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5.轿门</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清洁上坎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调整滚轮与门轨的间隙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检查门电机传动带涨力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门开、关顺畅检查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6.其他</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控制柜缺相测试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控制柜逆相测试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绝缘测试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井道极限开关距离确认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油压缓冲器油量及自动复位试验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制动器行程检查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平层调整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安全钳、限速器联动测试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60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消防试验</w:t>
            </w:r>
          </w:p>
        </w:tc>
      </w:tr>
    </w:tbl>
    <w:p>
      <w:pPr>
        <w:pStyle w:val="19"/>
        <w:keepNext w:val="0"/>
        <w:keepLines w:val="0"/>
        <w:pageBreakBefore w:val="0"/>
        <w:kinsoku/>
        <w:overflowPunct/>
        <w:autoSpaceDE/>
        <w:autoSpaceDN/>
        <w:bidi w:val="0"/>
        <w:snapToGrid/>
        <w:spacing w:line="540" w:lineRule="exact"/>
        <w:ind w:firstLine="420"/>
        <w:jc w:val="left"/>
        <w:rPr>
          <w:rFonts w:hint="eastAsia" w:ascii="仿宋_GB2312" w:hAnsi="仿宋_GB2312" w:eastAsia="仿宋_GB2312"/>
          <w:b w:val="0"/>
          <w:bCs/>
          <w:color w:val="000000" w:themeColor="text1"/>
          <w:sz w:val="32"/>
          <w:szCs w:val="32"/>
          <w14:textFill>
            <w14:solidFill>
              <w14:schemeClr w14:val="tx1"/>
            </w14:solidFill>
          </w14:textFill>
        </w:rPr>
      </w:pPr>
    </w:p>
    <w:p>
      <w:pPr>
        <w:keepNext w:val="0"/>
        <w:keepLines w:val="0"/>
        <w:pageBreakBefore w:val="0"/>
        <w:kinsoku/>
        <w:wordWrap w:val="0"/>
        <w:overflowPunct/>
        <w:topLinePunct/>
        <w:autoSpaceDE/>
        <w:autoSpaceDN/>
        <w:bidi w:val="0"/>
        <w:snapToGrid/>
        <w:spacing w:line="540" w:lineRule="exact"/>
        <w:ind w:firstLine="643" w:firstLineChars="200"/>
        <w:rPr>
          <w:rFonts w:hint="eastAsia"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b/>
          <w:bCs/>
          <w:color w:val="000000" w:themeColor="text1"/>
          <w:sz w:val="32"/>
          <w:szCs w:val="32"/>
          <w:lang w:eastAsia="zh-CN"/>
          <w14:textFill>
            <w14:solidFill>
              <w14:schemeClr w14:val="tx1"/>
            </w14:solidFill>
          </w14:textFill>
        </w:rPr>
        <w:t>三</w:t>
      </w:r>
      <w:r>
        <w:rPr>
          <w:rFonts w:hint="eastAsia" w:ascii="仿宋_GB2312" w:hAnsi="仿宋_GB2312" w:eastAsia="仿宋_GB2312"/>
          <w:b/>
          <w:bCs/>
          <w:color w:val="000000" w:themeColor="text1"/>
          <w:sz w:val="32"/>
          <w:szCs w:val="32"/>
          <w14:textFill>
            <w14:solidFill>
              <w14:schemeClr w14:val="tx1"/>
            </w14:solidFill>
          </w14:textFill>
        </w:rPr>
        <w:t>、商务条件</w:t>
      </w:r>
    </w:p>
    <w:p>
      <w:pPr>
        <w:keepNext w:val="0"/>
        <w:keepLines w:val="0"/>
        <w:pageBreakBefore w:val="0"/>
        <w:widowControl/>
        <w:kinsoku/>
        <w:overflowPunct/>
        <w:autoSpaceDE/>
        <w:autoSpaceDN/>
        <w:bidi w:val="0"/>
        <w:snapToGrid/>
        <w:spacing w:line="540" w:lineRule="exact"/>
        <w:ind w:firstLine="640" w:firstLineChars="200"/>
        <w:jc w:val="left"/>
        <w:rPr>
          <w:rStyle w:val="17"/>
          <w:rFonts w:hint="eastAsia" w:ascii="仿宋_GB2312" w:hAnsi="仿宋_GB2312" w:eastAsia="仿宋_GB2312"/>
          <w:b w:val="0"/>
          <w:color w:val="000000" w:themeColor="text1"/>
          <w:sz w:val="32"/>
          <w:szCs w:val="32"/>
          <w14:textFill>
            <w14:solidFill>
              <w14:schemeClr w14:val="tx1"/>
            </w14:solidFill>
          </w14:textFill>
        </w:rPr>
      </w:pPr>
      <w:r>
        <w:rPr>
          <w:rStyle w:val="17"/>
          <w:rFonts w:hint="eastAsia" w:ascii="仿宋_GB2312" w:hAnsi="仿宋_GB2312" w:eastAsia="仿宋_GB2312"/>
          <w:b w:val="0"/>
          <w:color w:val="000000" w:themeColor="text1"/>
          <w:sz w:val="32"/>
          <w:szCs w:val="32"/>
          <w14:textFill>
            <w14:solidFill>
              <w14:schemeClr w14:val="tx1"/>
            </w14:solidFill>
          </w14:textFill>
        </w:rPr>
        <w:t>1、服务地点：采购人指定地点。</w:t>
      </w:r>
    </w:p>
    <w:p>
      <w:pPr>
        <w:keepNext w:val="0"/>
        <w:keepLines w:val="0"/>
        <w:pageBreakBefore w:val="0"/>
        <w:widowControl/>
        <w:kinsoku/>
        <w:overflowPunct/>
        <w:autoSpaceDE/>
        <w:autoSpaceDN/>
        <w:bidi w:val="0"/>
        <w:snapToGrid/>
        <w:spacing w:line="540" w:lineRule="exact"/>
        <w:ind w:firstLine="640" w:firstLineChars="200"/>
        <w:jc w:val="left"/>
        <w:rPr>
          <w:rStyle w:val="17"/>
          <w:rFonts w:hint="eastAsia" w:ascii="仿宋_GB2312" w:hAnsi="仿宋_GB2312" w:eastAsia="仿宋_GB2312"/>
          <w:b w:val="0"/>
          <w:color w:val="000000" w:themeColor="text1"/>
          <w:sz w:val="32"/>
          <w:szCs w:val="32"/>
          <w14:textFill>
            <w14:solidFill>
              <w14:schemeClr w14:val="tx1"/>
            </w14:solidFill>
          </w14:textFill>
        </w:rPr>
      </w:pPr>
      <w:r>
        <w:rPr>
          <w:rStyle w:val="17"/>
          <w:rFonts w:hint="eastAsia" w:ascii="仿宋_GB2312" w:hAnsi="仿宋_GB2312" w:eastAsia="仿宋_GB2312"/>
          <w:b w:val="0"/>
          <w:color w:val="000000" w:themeColor="text1"/>
          <w:sz w:val="32"/>
          <w:szCs w:val="32"/>
          <w14:textFill>
            <w14:solidFill>
              <w14:schemeClr w14:val="tx1"/>
            </w14:solidFill>
          </w14:textFill>
        </w:rPr>
        <w:t>2、服务时间：合同生效之日起一年</w:t>
      </w:r>
      <w:r>
        <w:rPr>
          <w:rStyle w:val="17"/>
          <w:rFonts w:hint="eastAsia" w:ascii="仿宋_GB2312" w:hAnsi="仿宋_GB2312" w:eastAsia="仿宋_GB2312"/>
          <w:b w:val="0"/>
          <w:color w:val="000000" w:themeColor="text1"/>
          <w:sz w:val="32"/>
          <w:szCs w:val="32"/>
          <w:lang w:val="en-US" w:eastAsia="zh-CN"/>
          <w14:textFill>
            <w14:solidFill>
              <w14:schemeClr w14:val="tx1"/>
            </w14:solidFill>
          </w14:textFill>
        </w:rPr>
        <w:t>(因两台电梯维保到期时间不同，生效时间应顺延）</w:t>
      </w:r>
      <w:r>
        <w:rPr>
          <w:rStyle w:val="17"/>
          <w:rFonts w:hint="eastAsia" w:ascii="仿宋_GB2312" w:hAnsi="仿宋_GB2312" w:eastAsia="仿宋_GB2312"/>
          <w:b w:val="0"/>
          <w:color w:val="000000" w:themeColor="text1"/>
          <w:sz w:val="32"/>
          <w:szCs w:val="32"/>
          <w14:textFill>
            <w14:solidFill>
              <w14:schemeClr w14:val="tx1"/>
            </w14:solidFill>
          </w14:textFill>
        </w:rPr>
        <w:t>。</w:t>
      </w:r>
    </w:p>
    <w:p>
      <w:pPr>
        <w:keepNext w:val="0"/>
        <w:keepLines w:val="0"/>
        <w:pageBreakBefore w:val="0"/>
        <w:widowControl/>
        <w:kinsoku/>
        <w:overflowPunct/>
        <w:autoSpaceDE/>
        <w:autoSpaceDN/>
        <w:bidi w:val="0"/>
        <w:snapToGrid/>
        <w:spacing w:line="540" w:lineRule="exact"/>
        <w:ind w:firstLine="640" w:firstLineChars="200"/>
        <w:jc w:val="left"/>
        <w:rPr>
          <w:rStyle w:val="17"/>
          <w:rFonts w:hint="eastAsia" w:ascii="仿宋_GB2312" w:hAnsi="仿宋_GB2312" w:eastAsia="仿宋_GB2312"/>
          <w:b w:val="0"/>
          <w:color w:val="000000" w:themeColor="text1"/>
          <w:sz w:val="32"/>
          <w:szCs w:val="32"/>
          <w:lang w:eastAsia="zh-CN"/>
          <w14:textFill>
            <w14:solidFill>
              <w14:schemeClr w14:val="tx1"/>
            </w14:solidFill>
          </w14:textFill>
        </w:rPr>
      </w:pPr>
      <w:r>
        <w:rPr>
          <w:rStyle w:val="17"/>
          <w:rFonts w:hint="eastAsia" w:ascii="仿宋_GB2312" w:hAnsi="仿宋_GB2312"/>
          <w:b w:val="0"/>
          <w:color w:val="000000" w:themeColor="text1"/>
          <w:sz w:val="32"/>
          <w:szCs w:val="32"/>
          <w:lang w:val="en-US" w:eastAsia="zh-CN"/>
          <w14:textFill>
            <w14:solidFill>
              <w14:schemeClr w14:val="tx1"/>
            </w14:solidFill>
          </w14:textFill>
        </w:rPr>
        <w:t>3</w:t>
      </w:r>
      <w:r>
        <w:rPr>
          <w:rStyle w:val="17"/>
          <w:rFonts w:hint="eastAsia" w:ascii="仿宋_GB2312" w:hAnsi="仿宋_GB2312" w:eastAsia="仿宋_GB2312"/>
          <w:b w:val="0"/>
          <w:color w:val="000000" w:themeColor="text1"/>
          <w:kern w:val="0"/>
          <w:sz w:val="32"/>
          <w:szCs w:val="32"/>
          <w:lang w:bidi="ar"/>
          <w14:textFill>
            <w14:solidFill>
              <w14:schemeClr w14:val="tx1"/>
            </w14:solidFill>
          </w14:textFill>
        </w:rPr>
        <w:t>、支付方式数据表格</w:t>
      </w:r>
    </w:p>
    <w:tbl>
      <w:tblPr>
        <w:tblStyle w:val="7"/>
        <w:tblW w:w="5054" w:type="pct"/>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0" w:type="dxa"/>
          <w:bottom w:w="0" w:type="dxa"/>
          <w:right w:w="0" w:type="dxa"/>
        </w:tblCellMar>
      </w:tblPr>
      <w:tblGrid>
        <w:gridCol w:w="1384"/>
        <w:gridCol w:w="2402"/>
        <w:gridCol w:w="462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Header/>
        </w:trPr>
        <w:tc>
          <w:tcPr>
            <w:tcW w:w="1382"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bidi="ar"/>
                <w14:textFill>
                  <w14:solidFill>
                    <w14:schemeClr w14:val="tx1"/>
                  </w14:solidFill>
                </w14:textFill>
              </w:rPr>
            </w:pPr>
            <w:r>
              <w:rPr>
                <w:rFonts w:hint="eastAsia" w:ascii="仿宋_GB2312" w:hAnsi="仿宋_GB2312" w:eastAsia="仿宋_GB2312"/>
                <w:color w:val="000000" w:themeColor="text1"/>
                <w:kern w:val="0"/>
                <w:sz w:val="30"/>
                <w:szCs w:val="30"/>
                <w:lang w:bidi="ar"/>
                <w14:textFill>
                  <w14:solidFill>
                    <w14:schemeClr w14:val="tx1"/>
                  </w14:solidFill>
                </w14:textFill>
              </w:rPr>
              <w:t>支付期次</w:t>
            </w:r>
          </w:p>
        </w:tc>
        <w:tc>
          <w:tcPr>
            <w:tcW w:w="2398"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bidi="ar"/>
                <w14:textFill>
                  <w14:solidFill>
                    <w14:schemeClr w14:val="tx1"/>
                  </w14:solidFill>
                </w14:textFill>
              </w:rPr>
            </w:pPr>
            <w:r>
              <w:rPr>
                <w:rFonts w:hint="eastAsia" w:ascii="仿宋_GB2312" w:hAnsi="仿宋_GB2312" w:eastAsia="仿宋_GB2312"/>
                <w:color w:val="000000" w:themeColor="text1"/>
                <w:kern w:val="0"/>
                <w:sz w:val="30"/>
                <w:szCs w:val="30"/>
                <w:lang w:bidi="ar"/>
                <w14:textFill>
                  <w14:solidFill>
                    <w14:schemeClr w14:val="tx1"/>
                  </w14:solidFill>
                </w14:textFill>
              </w:rPr>
              <w:t>支付比例(%)</w:t>
            </w:r>
          </w:p>
        </w:tc>
        <w:tc>
          <w:tcPr>
            <w:tcW w:w="4617"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bidi="ar"/>
                <w14:textFill>
                  <w14:solidFill>
                    <w14:schemeClr w14:val="tx1"/>
                  </w14:solidFill>
                </w14:textFill>
              </w:rPr>
            </w:pPr>
            <w:r>
              <w:rPr>
                <w:rFonts w:hint="eastAsia" w:ascii="仿宋_GB2312" w:hAnsi="仿宋_GB2312" w:eastAsia="仿宋_GB2312"/>
                <w:color w:val="000000" w:themeColor="text1"/>
                <w:kern w:val="0"/>
                <w:sz w:val="30"/>
                <w:szCs w:val="30"/>
                <w:lang w:bidi="ar"/>
                <w14:textFill>
                  <w14:solidFill>
                    <w14:schemeClr w14:val="tx1"/>
                  </w14:solidFill>
                </w14:textFill>
              </w:rPr>
              <w:t>支付期次说明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1382"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val="en-US" w:eastAsia="zh-CN" w:bidi="ar"/>
                <w14:textFill>
                  <w14:solidFill>
                    <w14:schemeClr w14:val="tx1"/>
                  </w14:solidFill>
                </w14:textFill>
              </w:rPr>
            </w:pPr>
            <w:r>
              <w:rPr>
                <w:rFonts w:hint="eastAsia" w:ascii="仿宋_GB2312" w:hAnsi="仿宋_GB2312" w:eastAsia="仿宋_GB2312"/>
                <w:color w:val="000000" w:themeColor="text1"/>
                <w:kern w:val="0"/>
                <w:sz w:val="30"/>
                <w:szCs w:val="30"/>
                <w:lang w:val="en-US" w:eastAsia="zh-CN" w:bidi="ar"/>
                <w14:textFill>
                  <w14:solidFill>
                    <w14:schemeClr w14:val="tx1"/>
                  </w14:solidFill>
                </w14:textFill>
              </w:rPr>
              <w:t>4</w:t>
            </w:r>
          </w:p>
        </w:tc>
        <w:tc>
          <w:tcPr>
            <w:tcW w:w="2398"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sz w:val="30"/>
                <w:szCs w:val="30"/>
                <w:lang w:eastAsia="zh-CN"/>
                <w14:textFill>
                  <w14:solidFill>
                    <w14:schemeClr w14:val="tx1"/>
                  </w14:solidFill>
                </w14:textFill>
              </w:rPr>
            </w:pPr>
            <w:r>
              <w:rPr>
                <w:rFonts w:hint="eastAsia" w:ascii="仿宋_GB2312" w:hAnsi="仿宋_GB2312" w:eastAsia="仿宋_GB2312"/>
                <w:color w:val="000000" w:themeColor="text1"/>
                <w:sz w:val="30"/>
                <w:szCs w:val="30"/>
                <w:lang w:eastAsia="zh-CN"/>
                <w14:textFill>
                  <w14:solidFill>
                    <w14:schemeClr w14:val="tx1"/>
                  </w14:solidFill>
                </w14:textFill>
              </w:rPr>
              <w:t>根据实际工作量</w:t>
            </w:r>
          </w:p>
        </w:tc>
        <w:tc>
          <w:tcPr>
            <w:tcW w:w="4617" w:type="dxa"/>
            <w:shd w:val="clear" w:color="auto" w:fill="FFFFFF"/>
            <w:vAlign w:val="center"/>
          </w:tcPr>
          <w:p>
            <w:pPr>
              <w:keepNext w:val="0"/>
              <w:keepLines w:val="0"/>
              <w:pageBreakBefore w:val="0"/>
              <w:widowControl/>
              <w:kinsoku/>
              <w:overflowPunct/>
              <w:autoSpaceDE/>
              <w:autoSpaceDN/>
              <w:bidi w:val="0"/>
              <w:snapToGrid/>
              <w:spacing w:line="540" w:lineRule="exact"/>
              <w:ind w:firstLine="0" w:firstLineChars="0"/>
              <w:jc w:val="left"/>
              <w:rPr>
                <w:rFonts w:hint="eastAsia" w:ascii="仿宋_GB2312" w:hAnsi="仿宋_GB2312" w:eastAsia="仿宋_GB2312"/>
                <w:color w:val="000000" w:themeColor="text1"/>
                <w:kern w:val="0"/>
                <w:sz w:val="32"/>
                <w:szCs w:val="32"/>
                <w:lang w:bidi="ar"/>
                <w14:textFill>
                  <w14:solidFill>
                    <w14:schemeClr w14:val="tx1"/>
                  </w14:solidFill>
                </w14:textFill>
              </w:rPr>
            </w:pPr>
            <w:r>
              <w:rPr>
                <w:rFonts w:hint="eastAsia" w:ascii="仿宋_GB2312" w:hAnsi="仿宋_GB2312" w:eastAsia="仿宋_GB2312"/>
                <w:color w:val="000000" w:themeColor="text1"/>
                <w:kern w:val="0"/>
                <w:sz w:val="32"/>
                <w:szCs w:val="32"/>
                <w:lang w:bidi="ar"/>
                <w14:textFill>
                  <w14:solidFill>
                    <w14:schemeClr w14:val="tx1"/>
                  </w14:solidFill>
                </w14:textFill>
              </w:rPr>
              <w:t>合同生效后，</w:t>
            </w:r>
            <w:r>
              <w:rPr>
                <w:rFonts w:hint="eastAsia" w:ascii="仿宋_GB2312" w:hAnsi="仿宋_GB2312" w:eastAsia="仿宋_GB2312"/>
                <w:color w:val="000000" w:themeColor="text1"/>
                <w:kern w:val="0"/>
                <w:sz w:val="32"/>
                <w:szCs w:val="32"/>
                <w:lang w:eastAsia="zh-CN" w:bidi="ar"/>
                <w14:textFill>
                  <w14:solidFill>
                    <w14:schemeClr w14:val="tx1"/>
                  </w14:solidFill>
                </w14:textFill>
              </w:rPr>
              <w:t>每季度结算一次</w:t>
            </w:r>
            <w:r>
              <w:rPr>
                <w:rFonts w:hint="eastAsia" w:ascii="仿宋_GB2312" w:hAnsi="仿宋_GB2312" w:eastAsia="仿宋_GB2312"/>
                <w:color w:val="000000" w:themeColor="text1"/>
                <w:kern w:val="0"/>
                <w:sz w:val="30"/>
                <w:szCs w:val="30"/>
                <w:lang w:bidi="ar"/>
                <w14:textFill>
                  <w14:solidFill>
                    <w14:schemeClr w14:val="tx1"/>
                  </w14:solidFill>
                </w14:textFill>
              </w:rPr>
              <w:t>。</w:t>
            </w:r>
          </w:p>
        </w:tc>
      </w:tr>
    </w:tbl>
    <w:p>
      <w:pPr>
        <w:pStyle w:val="6"/>
        <w:widowControl/>
        <w:spacing w:before="0" w:beforeAutospacing="0" w:after="0" w:afterAutospacing="0" w:line="590" w:lineRule="exact"/>
        <w:ind w:firstLine="643" w:firstLineChars="200"/>
        <w:rPr>
          <w:rStyle w:val="9"/>
          <w:rFonts w:hint="eastAsia" w:ascii="仿宋_GB2312" w:hAnsi="仿宋_GB2312" w:eastAsia="仿宋_GB2312" w:cs="仿宋_GB2312"/>
          <w:color w:val="000000" w:themeColor="text1"/>
          <w:sz w:val="32"/>
          <w:szCs w:val="32"/>
          <w14:textFill>
            <w14:solidFill>
              <w14:schemeClr w14:val="tx1"/>
            </w14:solidFill>
          </w14:textFill>
        </w:rPr>
      </w:pPr>
      <w:r>
        <w:rPr>
          <w:rStyle w:val="9"/>
          <w:rFonts w:hint="eastAsia" w:ascii="仿宋_GB2312" w:hAnsi="仿宋_GB2312" w:cs="仿宋_GB2312"/>
          <w:color w:val="000000" w:themeColor="text1"/>
          <w:sz w:val="32"/>
          <w:szCs w:val="32"/>
          <w:lang w:eastAsia="zh-CN"/>
          <w14:textFill>
            <w14:solidFill>
              <w14:schemeClr w14:val="tx1"/>
            </w14:solidFill>
          </w14:textFill>
        </w:rPr>
        <w:t>四</w:t>
      </w:r>
      <w:r>
        <w:rPr>
          <w:rStyle w:val="9"/>
          <w:rFonts w:hint="eastAsia" w:ascii="仿宋_GB2312" w:hAnsi="仿宋_GB2312" w:eastAsia="仿宋_GB2312" w:cs="仿宋_GB2312"/>
          <w:color w:val="000000" w:themeColor="text1"/>
          <w:sz w:val="32"/>
          <w:szCs w:val="32"/>
          <w14:textFill>
            <w14:solidFill>
              <w14:schemeClr w14:val="tx1"/>
            </w14:solidFill>
          </w14:textFill>
        </w:rPr>
        <w:t>、付款方式与条件</w:t>
      </w:r>
    </w:p>
    <w:p>
      <w:pPr>
        <w:pStyle w:val="6"/>
        <w:widowControl/>
        <w:numPr>
          <w:ilvl w:val="0"/>
          <w:numId w:val="1"/>
        </w:numPr>
        <w:spacing w:before="0" w:beforeAutospacing="0" w:after="0" w:afterAutospacing="0" w:line="590" w:lineRule="exact"/>
        <w:ind w:left="0" w:leftChars="0" w:right="0" w:rightChars="0" w:firstLine="640"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olor w:val="000000" w:themeColor="text1"/>
          <w:kern w:val="0"/>
          <w:sz w:val="32"/>
          <w:szCs w:val="32"/>
          <w:lang w:bidi="ar"/>
          <w14:textFill>
            <w14:solidFill>
              <w14:schemeClr w14:val="tx1"/>
            </w14:solidFill>
          </w14:textFill>
        </w:rPr>
        <w:t>合同生效后，</w:t>
      </w:r>
      <w:r>
        <w:rPr>
          <w:rFonts w:hint="eastAsia" w:ascii="仿宋_GB2312" w:hAnsi="仿宋_GB2312"/>
          <w:color w:val="000000" w:themeColor="text1"/>
          <w:kern w:val="0"/>
          <w:sz w:val="32"/>
          <w:szCs w:val="32"/>
          <w:lang w:eastAsia="zh-CN" w:bidi="ar"/>
          <w14:textFill>
            <w14:solidFill>
              <w14:schemeClr w14:val="tx1"/>
            </w14:solidFill>
          </w14:textFill>
        </w:rPr>
        <w:t>验收合格后，</w:t>
      </w:r>
      <w:r>
        <w:rPr>
          <w:rFonts w:hint="eastAsia" w:ascii="仿宋_GB2312" w:hAnsi="仿宋_GB2312" w:eastAsia="仿宋_GB2312"/>
          <w:color w:val="000000" w:themeColor="text1"/>
          <w:kern w:val="0"/>
          <w:sz w:val="32"/>
          <w:szCs w:val="32"/>
          <w:lang w:eastAsia="zh-CN" w:bidi="ar"/>
          <w14:textFill>
            <w14:solidFill>
              <w14:schemeClr w14:val="tx1"/>
            </w14:solidFill>
          </w14:textFill>
        </w:rPr>
        <w:t>每季度结算一次，</w:t>
      </w:r>
      <w:r>
        <w:rPr>
          <w:rFonts w:hint="eastAsia" w:ascii="仿宋_GB2312" w:hAnsi="仿宋_GB2312"/>
          <w:color w:val="000000" w:themeColor="text1"/>
          <w:kern w:val="0"/>
          <w:sz w:val="32"/>
          <w:szCs w:val="32"/>
          <w:lang w:eastAsia="zh-CN" w:bidi="ar"/>
          <w14:textFill>
            <w14:solidFill>
              <w14:schemeClr w14:val="tx1"/>
            </w14:solidFill>
          </w14:textFill>
        </w:rPr>
        <w:t>收到发票后</w:t>
      </w:r>
      <w:r>
        <w:rPr>
          <w:rFonts w:hint="eastAsia" w:ascii="仿宋_GB2312" w:hAnsi="仿宋_GB2312" w:eastAsia="仿宋_GB2312"/>
          <w:color w:val="000000" w:themeColor="text1"/>
          <w:kern w:val="0"/>
          <w:sz w:val="32"/>
          <w:szCs w:val="32"/>
          <w:lang w:bidi="ar"/>
          <w14:textFill>
            <w14:solidFill>
              <w14:schemeClr w14:val="tx1"/>
            </w14:solidFill>
          </w14:textFill>
        </w:rPr>
        <w:t>十五个工作日内支付</w:t>
      </w:r>
      <w:r>
        <w:rPr>
          <w:rFonts w:hint="eastAsia" w:ascii="仿宋_GB2312" w:hAnsi="仿宋_GB2312" w:eastAsia="仿宋_GB2312"/>
          <w:color w:val="000000" w:themeColor="text1"/>
          <w:kern w:val="0"/>
          <w:sz w:val="30"/>
          <w:szCs w:val="30"/>
          <w:lang w:bidi="ar"/>
          <w14:textFill>
            <w14:solidFill>
              <w14:schemeClr w14:val="tx1"/>
            </w14:solidFill>
          </w14:textFill>
        </w:rPr>
        <w:t>。</w:t>
      </w:r>
      <w:r>
        <w:rPr>
          <w:rFonts w:hint="eastAsia" w:ascii="仿宋_GB2312" w:hAnsi="仿宋_GB2312" w:cs="仿宋_GB2312"/>
          <w:b w:val="0"/>
          <w:bCs w:val="0"/>
          <w:color w:val="000000" w:themeColor="text1"/>
          <w:sz w:val="32"/>
          <w:szCs w:val="32"/>
          <w:lang w:eastAsia="zh-CN"/>
          <w14:textFill>
            <w14:solidFill>
              <w14:schemeClr w14:val="tx1"/>
            </w14:solidFill>
          </w14:textFill>
        </w:rPr>
        <w:t>合同金额包括配件、人工、税收等一切费用。</w:t>
      </w:r>
    </w:p>
    <w:p>
      <w:pPr>
        <w:ind w:firstLine="640" w:firstLineChars="200"/>
        <w:rPr>
          <w:rFonts w:hint="eastAsia"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cs="仿宋_GB2312"/>
          <w:color w:val="000000" w:themeColor="text1"/>
          <w:kern w:val="0"/>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0"/>
          <w:szCs w:val="32"/>
          <w14:textFill>
            <w14:solidFill>
              <w14:schemeClr w14:val="tx1"/>
            </w14:solidFill>
          </w14:textFill>
        </w:rPr>
        <w:t>、</w:t>
      </w:r>
      <w:r>
        <w:rPr>
          <w:rFonts w:hint="eastAsia" w:ascii="仿宋_GB2312" w:hAnsi="仿宋_GB2312" w:eastAsia="仿宋_GB2312" w:cs="仿宋_GB2312"/>
          <w:color w:val="000000" w:themeColor="text1"/>
          <w:szCs w:val="32"/>
          <w14:textFill>
            <w14:solidFill>
              <w14:schemeClr w14:val="tx1"/>
            </w14:solidFill>
          </w14:textFill>
        </w:rPr>
        <w:t>在采购人每次付款前，成交人应向采购人提供与当次采购人支付金额等额且被采购人所在地税务部门认可的合法有效的增值税发票，否则采购人有权拒绝付款且不承担违约责任，成交人亦不得以此为由拒绝履行本合同项下的义务。</w:t>
      </w:r>
    </w:p>
    <w:p>
      <w:pPr>
        <w:keepNext w:val="0"/>
        <w:keepLines w:val="0"/>
        <w:pageBreakBefore w:val="0"/>
        <w:kinsoku/>
        <w:wordWrap w:val="0"/>
        <w:overflowPunct/>
        <w:topLinePunct/>
        <w:autoSpaceDE/>
        <w:autoSpaceDN/>
        <w:bidi w:val="0"/>
        <w:snapToGrid/>
        <w:spacing w:line="540" w:lineRule="exact"/>
        <w:ind w:firstLine="643" w:firstLineChars="200"/>
        <w:rPr>
          <w:rFonts w:hint="eastAsia"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b/>
          <w:bCs/>
          <w:color w:val="000000" w:themeColor="text1"/>
          <w:sz w:val="32"/>
          <w:szCs w:val="32"/>
          <w:lang w:eastAsia="zh-CN"/>
          <w14:textFill>
            <w14:solidFill>
              <w14:schemeClr w14:val="tx1"/>
            </w14:solidFill>
          </w14:textFill>
        </w:rPr>
        <w:t>五</w:t>
      </w:r>
      <w:r>
        <w:rPr>
          <w:rFonts w:hint="eastAsia" w:ascii="仿宋_GB2312" w:hAnsi="仿宋_GB2312" w:eastAsia="仿宋_GB2312"/>
          <w:b/>
          <w:bCs/>
          <w:color w:val="000000" w:themeColor="text1"/>
          <w:sz w:val="32"/>
          <w:szCs w:val="32"/>
          <w14:textFill>
            <w14:solidFill>
              <w14:schemeClr w14:val="tx1"/>
            </w14:solidFill>
          </w14:textFill>
        </w:rPr>
        <w:t>、其他事项</w:t>
      </w:r>
    </w:p>
    <w:p>
      <w:pPr>
        <w:keepNext w:val="0"/>
        <w:keepLines w:val="0"/>
        <w:pageBreakBefore w:val="0"/>
        <w:kinsoku/>
        <w:wordWrap w:val="0"/>
        <w:overflowPunct/>
        <w:topLinePunct/>
        <w:autoSpaceDE/>
        <w:autoSpaceDN/>
        <w:bidi w:val="0"/>
        <w:snapToGrid/>
        <w:spacing w:line="54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olor w:val="000000" w:themeColor="text1"/>
          <w:sz w:val="32"/>
          <w:szCs w:val="32"/>
          <w14:textFill>
            <w14:solidFill>
              <w14:schemeClr w14:val="tx1"/>
            </w14:solidFill>
          </w14:textFill>
        </w:rPr>
        <w:t>本项目不允许成交人以任何名义和理由进行转包，如有发现，采购人有权单方终止合同，视为成交人违约；成交人违约对采购人造成的损失的，需另行支付相应的赔偿。</w:t>
      </w:r>
    </w:p>
    <w:p>
      <w:pPr>
        <w:keepNext w:val="0"/>
        <w:keepLines w:val="0"/>
        <w:pageBreakBefore w:val="0"/>
        <w:kinsoku/>
        <w:wordWrap w:val="0"/>
        <w:overflowPunct/>
        <w:topLinePunct/>
        <w:autoSpaceDE/>
        <w:autoSpaceDN/>
        <w:bidi w:val="0"/>
        <w:snapToGrid/>
        <w:spacing w:line="54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本</w:t>
      </w:r>
      <w:r>
        <w:rPr>
          <w:rFonts w:hint="eastAsia" w:ascii="仿宋_GB2312" w:hAnsi="仿宋_GB2312"/>
          <w:color w:val="000000" w:themeColor="text1"/>
          <w:sz w:val="32"/>
          <w:szCs w:val="32"/>
          <w:lang w:eastAsia="zh-CN"/>
          <w14:textFill>
            <w14:solidFill>
              <w14:schemeClr w14:val="tx1"/>
            </w14:solidFill>
          </w14:textFill>
        </w:rPr>
        <w:t>谈判</w:t>
      </w:r>
      <w:r>
        <w:rPr>
          <w:rFonts w:hint="eastAsia" w:ascii="仿宋_GB2312" w:hAnsi="仿宋_GB2312" w:eastAsia="仿宋_GB2312"/>
          <w:color w:val="000000" w:themeColor="text1"/>
          <w:sz w:val="32"/>
          <w:szCs w:val="32"/>
          <w14:textFill>
            <w14:solidFill>
              <w14:schemeClr w14:val="tx1"/>
            </w14:solidFill>
          </w14:textFill>
        </w:rPr>
        <w:t>文件未明确的其它约定事项或条款，待采购人与成交人签订合同时，由双方协商订立。</w:t>
      </w:r>
    </w:p>
    <w:p>
      <w:pPr>
        <w:pStyle w:val="16"/>
        <w:keepNext w:val="0"/>
        <w:keepLines w:val="0"/>
        <w:widowControl/>
        <w:suppressLineNumbers w:val="0"/>
        <w:spacing w:before="0" w:beforeAutospacing="0" w:after="0" w:afterAutospacing="0" w:line="570" w:lineRule="exact"/>
        <w:ind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color w:val="000000" w:themeColor="text1"/>
          <w:sz w:val="32"/>
          <w:szCs w:val="32"/>
          <w:lang w:eastAsia="zh-CN"/>
          <w14:textFill>
            <w14:solidFill>
              <w14:schemeClr w14:val="tx1"/>
            </w14:solidFill>
          </w14:textFill>
        </w:rPr>
        <w:t>六</w:t>
      </w:r>
      <w:r>
        <w:rPr>
          <w:rStyle w:val="17"/>
          <w:rFonts w:hint="eastAsia" w:ascii="仿宋_GB2312" w:hAnsi="仿宋_GB2312" w:eastAsia="仿宋_GB2312"/>
          <w:color w:val="000000" w:themeColor="text1"/>
          <w:sz w:val="32"/>
          <w:szCs w:val="32"/>
          <w14:textFill>
            <w14:solidFill>
              <w14:schemeClr w14:val="tx1"/>
            </w14:solidFill>
          </w14:textFill>
        </w:rPr>
        <w:t>、供应商资格要求及审查办法</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1、资格要求：</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（1）供应商应是具备独立企业法人</w:t>
      </w:r>
      <w:r>
        <w:rPr>
          <w:rFonts w:hint="eastAsia" w:ascii="仿宋_GB2312" w:hAnsi="仿宋_GB2312" w:eastAsia="仿宋_GB2312"/>
          <w:color w:val="000000" w:themeColor="text1"/>
          <w:sz w:val="32"/>
          <w:szCs w:val="32"/>
          <w14:textFill>
            <w14:solidFill>
              <w14:schemeClr w14:val="tx1"/>
            </w14:solidFill>
          </w14:textFill>
        </w:rPr>
        <w:t>资格,有能力承接本项目的国内企业 (供应商应在响应文件中提供企业法人营业执照复印件,并加盖供应商单位公章)；</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（2）法定代表人授权书原件（若是单位负责人参加谈判的可无须提供本函），(供应商应按照附件“响应文件格式”)；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（3）依法缴纳税收和社会保障资金的承诺函或提供投标截止时间前六个月（不含投标截止时间的当月）中任一个月的依法缴纳税收和社会保障资金的凭据(详见附件“响应文件格式”)；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（4）参加本项目响应前3年内在经营活动中没有重大违法记录的书面声明函(详见附件“响应文件格式”)；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（5）具备履行合同所必需的设备和专业技术能力的声明函(详见附件“响应文件格式”)；</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（6）信用信息查询记录证明材料（根据财库〔</w:t>
      </w:r>
      <w:r>
        <w:rPr>
          <w:rFonts w:hint="eastAsia" w:ascii="仿宋_GB2312" w:hAnsi="仿宋_GB2312"/>
          <w:color w:val="000000" w:themeColor="text1"/>
          <w:sz w:val="32"/>
          <w:szCs w:val="32"/>
          <w:lang w:eastAsia="zh-CN"/>
          <w14:textFill>
            <w14:solidFill>
              <w14:schemeClr w14:val="tx1"/>
            </w14:solidFill>
          </w14:textFill>
        </w:rPr>
        <w:t>60</w:t>
      </w:r>
      <w:r>
        <w:rPr>
          <w:rFonts w:hint="eastAsia" w:ascii="仿宋_GB2312" w:hAnsi="仿宋_GB2312" w:eastAsia="仿宋_GB2312"/>
          <w:color w:val="000000" w:themeColor="text1"/>
          <w:sz w:val="32"/>
          <w:szCs w:val="32"/>
          <w14:textFill>
            <w14:solidFill>
              <w14:schemeClr w14:val="tx1"/>
            </w14:solidFill>
          </w14:textFill>
        </w:rPr>
        <w:t>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仿宋_GB2312" w:hAnsi="仿宋_GB2312" w:eastAsia="仿宋_GB2312"/>
          <w:color w:val="000000" w:themeColor="text1"/>
          <w:sz w:val="32"/>
          <w:szCs w:val="32"/>
          <w:lang w:eastAsia="zh-CN"/>
          <w14:textFill>
            <w14:solidFill>
              <w14:schemeClr w14:val="tx1"/>
            </w14:solidFill>
          </w14:textFill>
        </w:rPr>
        <w:t>谈判</w:t>
      </w:r>
      <w:r>
        <w:rPr>
          <w:rFonts w:hint="eastAsia" w:ascii="仿宋_GB2312" w:hAnsi="仿宋_GB2312" w:eastAsia="仿宋_GB2312"/>
          <w:color w:val="000000" w:themeColor="text1"/>
          <w:sz w:val="32"/>
          <w:szCs w:val="32"/>
          <w14:textFill>
            <w14:solidFill>
              <w14:schemeClr w14:val="tx1"/>
            </w14:solidFill>
          </w14:textFill>
        </w:rPr>
        <w:t>小组通过“信用中国”网站（www.creditchina.gov.cn）和中国政府采购网（www.ccgp.gov.cn）查询并打印供应商信用记录。若查询结果存在供应商应被拒绝参与政府采购活动相关信息的，其资格审查不合格）。</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olor w:val="000000" w:themeColor="text1"/>
          <w:sz w:val="32"/>
          <w:szCs w:val="32"/>
          <w14:textFill>
            <w14:solidFill>
              <w14:schemeClr w14:val="tx1"/>
            </w14:solidFill>
          </w14:textFill>
        </w:rPr>
        <w:t>）本招标项目不接受联合体谈判，不允许分包。</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olor w:val="000000" w:themeColor="text1"/>
          <w:sz w:val="32"/>
          <w14:textFill>
            <w14:solidFill>
              <w14:schemeClr w14:val="tx1"/>
            </w14:solidFill>
          </w14:textFill>
        </w:rPr>
        <w:t>）</w:t>
      </w:r>
      <w:r>
        <w:rPr>
          <w:rFonts w:hint="eastAsia" w:ascii="仿宋_GB2312" w:hAnsi="仿宋_GB2312" w:eastAsia="仿宋_GB2312"/>
          <w:color w:val="000000" w:themeColor="text1"/>
          <w:sz w:val="32"/>
          <w:szCs w:val="32"/>
          <w14:textFill>
            <w14:solidFill>
              <w14:schemeClr w14:val="tx1"/>
            </w14:solidFill>
          </w14:textFill>
        </w:rPr>
        <w:t>本项目为专门面向中小企业</w:t>
      </w:r>
      <w:r>
        <w:rPr>
          <w:rFonts w:hint="eastAsia" w:ascii="仿宋_GB2312" w:hAnsi="仿宋_GB2312" w:eastAsia="仿宋_GB2312"/>
          <w:color w:val="000000" w:themeColor="text1"/>
          <w:sz w:val="32"/>
          <w:szCs w:val="32"/>
          <w:lang w:eastAsia="zh-CN"/>
          <w14:textFill>
            <w14:solidFill>
              <w14:schemeClr w14:val="tx1"/>
            </w14:solidFill>
          </w14:textFill>
        </w:rPr>
        <w:t>询价项目</w:t>
      </w:r>
      <w:r>
        <w:rPr>
          <w:rFonts w:hint="eastAsia" w:ascii="仿宋_GB2312" w:hAnsi="仿宋_GB2312" w:eastAsia="仿宋_GB2312"/>
          <w:color w:val="000000" w:themeColor="text1"/>
          <w:sz w:val="32"/>
          <w:szCs w:val="32"/>
          <w14:textFill>
            <w14:solidFill>
              <w14:schemeClr w14:val="tx1"/>
            </w14:solidFill>
          </w14:textFill>
        </w:rPr>
        <w:t>，供应商应按以下要求提供相关证明材料：①供应商符合《工业和信息化部、国家统计局、国家发展和改革委员会、财政部关于印发中小企业划型标准规定的通知》（工信部联企业[</w:t>
      </w:r>
      <w:r>
        <w:rPr>
          <w:rFonts w:hint="eastAsia" w:ascii="仿宋_GB2312" w:hAnsi="仿宋_GB2312"/>
          <w:color w:val="000000" w:themeColor="text1"/>
          <w:sz w:val="32"/>
          <w:szCs w:val="32"/>
          <w:lang w:eastAsia="zh-CN"/>
          <w14:textFill>
            <w14:solidFill>
              <w14:schemeClr w14:val="tx1"/>
            </w14:solidFill>
          </w14:textFill>
        </w:rPr>
        <w:t>60</w:t>
      </w:r>
      <w:r>
        <w:rPr>
          <w:rFonts w:hint="eastAsia" w:ascii="仿宋_GB2312" w:hAnsi="仿宋_GB2312" w:eastAsia="仿宋_GB2312"/>
          <w:color w:val="000000" w:themeColor="text1"/>
          <w:sz w:val="32"/>
          <w:szCs w:val="32"/>
          <w14:textFill>
            <w14:solidFill>
              <w14:schemeClr w14:val="tx1"/>
            </w14:solidFill>
          </w14:textFill>
        </w:rPr>
        <w:t>11]300号）规定的中小企业划分标准，提供《中小企业声明函》（</w:t>
      </w:r>
      <w:r>
        <w:rPr>
          <w:rFonts w:hint="eastAsia" w:ascii="仿宋_GB2312" w:hAnsi="仿宋_GB2312"/>
          <w:color w:val="000000" w:themeColor="text1"/>
          <w:sz w:val="32"/>
          <w:szCs w:val="32"/>
          <w:lang w:eastAsia="zh-CN"/>
          <w14:textFill>
            <w14:solidFill>
              <w14:schemeClr w14:val="tx1"/>
            </w14:solidFill>
          </w14:textFill>
        </w:rPr>
        <w:t>服务</w:t>
      </w:r>
      <w:r>
        <w:rPr>
          <w:rFonts w:hint="eastAsia" w:ascii="仿宋_GB2312" w:hAnsi="仿宋_GB2312" w:eastAsia="仿宋_GB2312"/>
          <w:color w:val="000000" w:themeColor="text1"/>
          <w:sz w:val="32"/>
          <w:szCs w:val="32"/>
          <w14:textFill>
            <w14:solidFill>
              <w14:schemeClr w14:val="tx1"/>
            </w14:solidFill>
          </w14:textFill>
        </w:rPr>
        <w:t>类）。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w:t>
      </w:r>
      <w:r>
        <w:rPr>
          <w:rFonts w:hint="eastAsia" w:ascii="仿宋_GB2312" w:hAnsi="仿宋_GB2312"/>
          <w:color w:val="000000" w:themeColor="text1"/>
          <w:sz w:val="32"/>
          <w:szCs w:val="32"/>
          <w:lang w:val="en-US" w:eastAsia="zh-CN"/>
          <w14:textFill>
            <w14:solidFill>
              <w14:schemeClr w14:val="tx1"/>
            </w14:solidFill>
          </w14:textFill>
        </w:rPr>
        <w:t>服务</w:t>
      </w:r>
      <w:r>
        <w:rPr>
          <w:rFonts w:hint="eastAsia" w:ascii="仿宋_GB2312" w:hAnsi="仿宋_GB2312" w:eastAsia="仿宋_GB2312"/>
          <w:color w:val="000000" w:themeColor="text1"/>
          <w:sz w:val="32"/>
          <w:szCs w:val="32"/>
          <w14:textFill>
            <w14:solidFill>
              <w14:schemeClr w14:val="tx1"/>
            </w14:solidFill>
          </w14:textFill>
        </w:rPr>
        <w:t>类采购项目，本项目（采购标的）</w:t>
      </w:r>
      <w:r>
        <w:rPr>
          <w:rFonts w:hint="eastAsia" w:ascii="仿宋_GB2312" w:hAnsi="仿宋_GB2312" w:eastAsia="仿宋_GB2312"/>
          <w:color w:val="000000" w:themeColor="text1"/>
          <w:sz w:val="32"/>
          <w:szCs w:val="32"/>
          <w:lang w:val="en-US" w:eastAsia="zh-CN"/>
          <w14:textFill>
            <w14:solidFill>
              <w14:schemeClr w14:val="tx1"/>
            </w14:solidFill>
          </w14:textFill>
        </w:rPr>
        <w:t>中小企业划分标准</w:t>
      </w:r>
      <w:r>
        <w:rPr>
          <w:rFonts w:hint="eastAsia" w:ascii="仿宋_GB2312" w:hAnsi="仿宋_GB2312" w:eastAsia="仿宋_GB2312"/>
          <w:color w:val="000000" w:themeColor="text1"/>
          <w:sz w:val="32"/>
          <w:szCs w:val="32"/>
          <w14:textFill>
            <w14:solidFill>
              <w14:schemeClr w14:val="tx1"/>
            </w14:solidFill>
          </w14:textFill>
        </w:rPr>
        <w:t>所属行业为“</w:t>
      </w:r>
      <w:r>
        <w:rPr>
          <w:rFonts w:hint="eastAsia" w:ascii="仿宋_GB2312" w:hAnsi="仿宋_GB2312"/>
          <w:color w:val="000000" w:themeColor="text1"/>
          <w:sz w:val="32"/>
          <w:szCs w:val="32"/>
          <w:lang w:val="en-US" w:eastAsia="zh-CN"/>
          <w14:textFill>
            <w14:solidFill>
              <w14:schemeClr w14:val="tx1"/>
            </w14:solidFill>
          </w14:textFill>
        </w:rPr>
        <w:t>工业</w:t>
      </w:r>
      <w:r>
        <w:rPr>
          <w:rFonts w:hint="eastAsia" w:ascii="仿宋_GB2312" w:hAnsi="仿宋_GB2312" w:eastAsia="仿宋_GB2312"/>
          <w:color w:val="000000" w:themeColor="text1"/>
          <w:sz w:val="32"/>
          <w:szCs w:val="32"/>
          <w14:textFill>
            <w14:solidFill>
              <w14:schemeClr w14:val="tx1"/>
            </w14:solidFill>
          </w14:textFill>
        </w:rPr>
        <w:t>”。</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9</w:t>
      </w:r>
      <w:r>
        <w:rPr>
          <w:rFonts w:hint="eastAsia" w:ascii="仿宋_GB2312" w:hAnsi="仿宋_GB2312" w:eastAsia="仿宋_GB2312"/>
          <w:color w:val="000000" w:themeColor="text1"/>
          <w:sz w:val="32"/>
          <w:szCs w:val="32"/>
          <w:lang w:eastAsia="zh-CN"/>
          <w14:textFill>
            <w14:solidFill>
              <w14:schemeClr w14:val="tx1"/>
            </w14:solidFill>
          </w14:textFill>
        </w:rPr>
        <w:t>）特定条件：</w:t>
      </w:r>
      <w:r>
        <w:rPr>
          <w:rFonts w:hint="eastAsia" w:ascii="仿宋_GB2312" w:hAnsi="仿宋_GB2312" w:eastAsia="仿宋_GB2312"/>
          <w:color w:val="000000" w:themeColor="text1"/>
          <w:sz w:val="32"/>
          <w:szCs w:val="32"/>
          <w:lang w:val="en-US" w:eastAsia="zh-CN"/>
          <w14:textFill>
            <w14:solidFill>
              <w14:schemeClr w14:val="tx1"/>
            </w14:solidFill>
          </w14:textFill>
        </w:rPr>
        <w:t>本项目要求</w:t>
      </w:r>
      <w:r>
        <w:rPr>
          <w:rFonts w:hint="eastAsia" w:ascii="仿宋_GB2312" w:hAnsi="仿宋_GB2312"/>
          <w:color w:val="000000" w:themeColor="text1"/>
          <w:sz w:val="32"/>
          <w:szCs w:val="32"/>
          <w:lang w:val="en-US" w:eastAsia="zh-CN"/>
          <w14:textFill>
            <w14:solidFill>
              <w14:schemeClr w14:val="tx1"/>
            </w14:solidFill>
          </w14:textFill>
        </w:rPr>
        <w:t>供应商</w:t>
      </w:r>
      <w:r>
        <w:rPr>
          <w:rFonts w:hint="eastAsia" w:ascii="仿宋_GB2312" w:hAnsi="仿宋_GB2312" w:eastAsia="仿宋_GB2312"/>
          <w:color w:val="000000" w:themeColor="text1"/>
          <w:sz w:val="32"/>
          <w:szCs w:val="32"/>
          <w:lang w:val="en-US" w:eastAsia="zh-CN"/>
          <w14:textFill>
            <w14:solidFill>
              <w14:schemeClr w14:val="tx1"/>
            </w14:solidFill>
          </w14:textFill>
        </w:rPr>
        <w:t>须具有行政主管部门核发有效的《中华人民共和国特种设备生产许可证》，许可项目须包含“电梯安装（含修理）”</w:t>
      </w:r>
      <w:r>
        <w:rPr>
          <w:rFonts w:hint="eastAsia" w:ascii="仿宋_GB2312" w:hAnsi="仿宋_GB2312"/>
          <w:color w:val="000000" w:themeColor="text1"/>
          <w:sz w:val="32"/>
          <w:szCs w:val="32"/>
          <w:lang w:val="en-US" w:eastAsia="zh-CN"/>
          <w14:textFill>
            <w14:solidFill>
              <w14:schemeClr w14:val="tx1"/>
            </w14:solidFill>
          </w14:textFill>
        </w:rPr>
        <w:t>，提供证书复印件加盖供应商公章</w:t>
      </w:r>
      <w:r>
        <w:rPr>
          <w:rFonts w:hint="eastAsia" w:ascii="仿宋_GB2312" w:hAnsi="仿宋_GB2312" w:eastAsia="仿宋_GB2312"/>
          <w:color w:val="000000" w:themeColor="text1"/>
          <w:sz w:val="32"/>
          <w:szCs w:val="32"/>
          <w:lang w:eastAsia="zh-CN"/>
          <w14:textFill>
            <w14:solidFill>
              <w14:schemeClr w14:val="tx1"/>
            </w14:solidFill>
          </w14:textFill>
        </w:rPr>
        <w:t>。</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2、资格审查采用方式：截标后即开始评审。</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3、本项目为非政府采购项目，参照政府采购竞争性谈判的流程进行。供应商应对响应文件资料的真实性负责，</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在授予合同之前有权对其响应文件资料进行核实，如发现所提交的资料不真实，</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将视其为以弄虚作假方式骗取中标，其成交无效，若给</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造成损失的，应依法承担赔偿责任。</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14:textFill>
            <w14:solidFill>
              <w14:schemeClr w14:val="tx1"/>
            </w14:solidFill>
          </w14:textFill>
        </w:rPr>
      </w:pPr>
      <w:r>
        <w:rPr>
          <w:rStyle w:val="17"/>
          <w:rFonts w:hint="eastAsia" w:ascii="仿宋_GB2312" w:hAnsi="仿宋_GB2312"/>
          <w:color w:val="000000" w:themeColor="text1"/>
          <w:sz w:val="32"/>
          <w:szCs w:val="32"/>
          <w:lang w:eastAsia="zh-CN"/>
          <w14:textFill>
            <w14:solidFill>
              <w14:schemeClr w14:val="tx1"/>
            </w14:solidFill>
          </w14:textFill>
        </w:rPr>
        <w:t>七</w:t>
      </w:r>
      <w:r>
        <w:rPr>
          <w:rStyle w:val="17"/>
          <w:rFonts w:hint="eastAsia" w:ascii="仿宋_GB2312" w:hAnsi="仿宋_GB2312" w:eastAsia="仿宋_GB2312"/>
          <w:color w:val="000000" w:themeColor="text1"/>
          <w:sz w:val="32"/>
          <w:szCs w:val="32"/>
          <w14:textFill>
            <w14:solidFill>
              <w14:schemeClr w14:val="tx1"/>
            </w14:solidFill>
          </w14:textFill>
        </w:rPr>
        <w:t>、谈判文件的获取</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1、本询价项目不采用电子招投标。</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2、询价文件请自行在网站上查看http://www.fjsj.com/</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3、项目联系人：李女士</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采购单位联系人：李女士</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联系电话：88013032</w:t>
      </w:r>
    </w:p>
    <w:p>
      <w:pPr>
        <w:pStyle w:val="6"/>
        <w:widowControl/>
        <w:spacing w:before="0" w:beforeAutospacing="0" w:after="0" w:afterAutospacing="0" w:line="590" w:lineRule="exact"/>
        <w:ind w:firstLine="643" w:firstLineChars="200"/>
        <w:rPr>
          <w:rFonts w:hint="eastAsia" w:ascii="仿宋_GB2312" w:hAnsi="仿宋_GB2312" w:eastAsia="仿宋_GB2312" w:cs="仿宋_GB2312"/>
          <w:color w:val="000000" w:themeColor="text1"/>
          <w:sz w:val="32"/>
          <w:szCs w:val="32"/>
          <w14:textFill>
            <w14:solidFill>
              <w14:schemeClr w14:val="tx1"/>
            </w14:solidFill>
          </w14:textFill>
        </w:rPr>
      </w:pPr>
      <w:r>
        <w:rPr>
          <w:rStyle w:val="9"/>
          <w:rFonts w:hint="eastAsia" w:ascii="仿宋_GB2312" w:hAnsi="仿宋_GB2312" w:cs="仿宋_GB2312"/>
          <w:color w:val="000000" w:themeColor="text1"/>
          <w:sz w:val="32"/>
          <w:szCs w:val="32"/>
          <w:lang w:eastAsia="zh-CN"/>
          <w14:textFill>
            <w14:solidFill>
              <w14:schemeClr w14:val="tx1"/>
            </w14:solidFill>
          </w14:textFill>
        </w:rPr>
        <w:t>八</w:t>
      </w:r>
      <w:r>
        <w:rPr>
          <w:rStyle w:val="9"/>
          <w:rFonts w:hint="eastAsia" w:ascii="仿宋_GB2312" w:hAnsi="仿宋_GB2312" w:eastAsia="仿宋_GB2312" w:cs="仿宋_GB2312"/>
          <w:color w:val="000000" w:themeColor="text1"/>
          <w:sz w:val="32"/>
          <w:szCs w:val="32"/>
          <w14:textFill>
            <w14:solidFill>
              <w14:schemeClr w14:val="tx1"/>
            </w14:solidFill>
          </w14:textFill>
        </w:rPr>
        <w:t>、答疑截止时间</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供应商若要求澄清询价通知书，应在获取询价通知书后的 1个工作日内提出，采购人将随时解答。</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color w:val="000000" w:themeColor="text1"/>
          <w:sz w:val="32"/>
          <w:szCs w:val="32"/>
          <w:lang w:eastAsia="zh-CN"/>
          <w14:textFill>
            <w14:solidFill>
              <w14:schemeClr w14:val="tx1"/>
            </w14:solidFill>
          </w14:textFill>
        </w:rPr>
        <w:t>九</w:t>
      </w:r>
      <w:r>
        <w:rPr>
          <w:rStyle w:val="17"/>
          <w:rFonts w:hint="eastAsia" w:ascii="仿宋_GB2312" w:hAnsi="仿宋_GB2312" w:eastAsia="仿宋_GB2312"/>
          <w:color w:val="000000" w:themeColor="text1"/>
          <w:sz w:val="32"/>
          <w:szCs w:val="32"/>
          <w14:textFill>
            <w14:solidFill>
              <w14:schemeClr w14:val="tx1"/>
            </w14:solidFill>
          </w14:textFill>
        </w:rPr>
        <w:t>、响应文件的要求及递交</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（1）响应文件要求：</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1）除谈判文件另有规定外，响应文件应使用附件响应文件模板规定的格式。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2）除谈判文件另有规定外，响应文件的正本和全部副本均应使用不能擦去的墨料或墨水打印、书写或复印，其中：</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①正本应用A4幅面纸张打印装订，编制封面（封面标明“正本”字样）、索引、页码，并用胶装装订成册。</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②副本应用A4幅面纸张打印装订，编制封面（封面标明“副本”字样）、索引、页码，并用胶装装订成册；副本可用正本的完整复印件，并与正本保持一致（若不一致，以正本为准）。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（2）响应文件递交：</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1）响应文件正本1份、副本</w:t>
      </w:r>
      <w:r>
        <w:rPr>
          <w:rFonts w:hint="eastAsia" w:ascii="仿宋_GB2312" w:hAnsi="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份，分别标明“正本”“副本”字样，并密封加盖供应商公章。响应文件未密封完好将导致谈判被拒绝。</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2）首次响应文件递交时间：供应商应在</w:t>
      </w:r>
      <w:r>
        <w:rPr>
          <w:rFonts w:hint="eastAsia" w:ascii="仿宋_GB2312" w:hAnsi="仿宋_GB2312"/>
          <w:color w:val="000000" w:themeColor="text1"/>
          <w:sz w:val="32"/>
          <w:szCs w:val="32"/>
          <w:lang w:val="en-US" w:eastAsia="zh-CN"/>
          <w14:textFill>
            <w14:solidFill>
              <w14:schemeClr w14:val="tx1"/>
            </w14:solidFill>
          </w14:textFill>
        </w:rPr>
        <w:t>2024</w:t>
      </w:r>
      <w:r>
        <w:rPr>
          <w:rFonts w:hint="eastAsia" w:ascii="仿宋_GB2312" w:hAnsi="仿宋_GB2312" w:eastAsia="仿宋_GB2312"/>
          <w:color w:val="000000" w:themeColor="text1"/>
          <w:sz w:val="32"/>
          <w:szCs w:val="32"/>
          <w14:textFill>
            <w14:solidFill>
              <w14:schemeClr w14:val="tx1"/>
            </w14:solidFill>
          </w14:textFill>
        </w:rPr>
        <w:t>年</w:t>
      </w:r>
      <w:bookmarkStart w:id="0" w:name="_GoBack"/>
      <w:bookmarkEnd w:id="0"/>
      <w:r>
        <w:rPr>
          <w:rFonts w:hint="eastAsia" w:ascii="仿宋_GB2312" w:hAnsi="仿宋_GB2312"/>
          <w:color w:val="000000" w:themeColor="text1"/>
          <w:sz w:val="32"/>
          <w:szCs w:val="32"/>
          <w:lang w:val="en-US" w:eastAsia="zh-CN"/>
          <w14:textFill>
            <w14:solidFill>
              <w14:schemeClr w14:val="tx1"/>
            </w14:solidFill>
          </w14:textFill>
        </w:rPr>
        <w:t>6月24</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olor w:val="000000" w:themeColor="text1"/>
          <w:sz w:val="32"/>
          <w:szCs w:val="32"/>
          <w14:textFill>
            <w14:solidFill>
              <w14:schemeClr w14:val="tx1"/>
            </w14:solidFill>
          </w14:textFill>
        </w:rPr>
        <w:t>日</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08：30</w:t>
      </w:r>
      <w:r>
        <w:rPr>
          <w:rFonts w:hint="eastAsia" w:ascii="仿宋_GB2312" w:hAnsi="仿宋_GB2312" w:eastAsia="仿宋_GB2312"/>
          <w:color w:val="000000" w:themeColor="text1"/>
          <w:sz w:val="32"/>
          <w:szCs w:val="32"/>
          <w14:textFill>
            <w14:solidFill>
              <w14:schemeClr w14:val="tx1"/>
            </w14:solidFill>
          </w14:textFill>
        </w:rPr>
        <w:t>时之前将密封的响应文件送达</w:t>
      </w:r>
      <w:r>
        <w:rPr>
          <w:rFonts w:hint="eastAsia" w:ascii="仿宋_GB2312" w:hAnsi="仿宋_GB2312"/>
          <w:color w:val="000000" w:themeColor="text1"/>
          <w:sz w:val="32"/>
          <w:szCs w:val="32"/>
          <w:lang w:eastAsia="zh-CN"/>
          <w14:textFill>
            <w14:solidFill>
              <w14:schemeClr w14:val="tx1"/>
            </w14:solidFill>
          </w14:textFill>
        </w:rPr>
        <w:t>福建省级机关医院总务科（一）办公室</w:t>
      </w:r>
      <w:r>
        <w:rPr>
          <w:rFonts w:hint="eastAsia" w:ascii="仿宋_GB2312" w:hAnsi="仿宋_GB2312" w:eastAsia="仿宋_GB2312"/>
          <w:color w:val="000000" w:themeColor="text1"/>
          <w:sz w:val="32"/>
          <w:szCs w:val="32"/>
          <w14:textFill>
            <w14:solidFill>
              <w14:schemeClr w14:val="tx1"/>
            </w14:solidFill>
          </w14:textFill>
        </w:rPr>
        <w:t>，逾期送达的或不符合规定的响应文件将被拒绝接收。</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八</w:t>
      </w:r>
      <w:r>
        <w:rPr>
          <w:rStyle w:val="17"/>
          <w:rFonts w:hint="eastAsia" w:ascii="仿宋_GB2312" w:hAnsi="仿宋_GB2312" w:eastAsia="仿宋_GB2312"/>
          <w:color w:val="000000" w:themeColor="text1"/>
          <w:sz w:val="32"/>
          <w:szCs w:val="32"/>
          <w14:textFill>
            <w14:solidFill>
              <w14:schemeClr w14:val="tx1"/>
            </w14:solidFill>
          </w14:textFill>
        </w:rPr>
        <w:t>、开标评标时间地点</w:t>
      </w:r>
    </w:p>
    <w:p>
      <w:pPr>
        <w:pStyle w:val="16"/>
        <w:keepNext w:val="0"/>
        <w:keepLines w:val="0"/>
        <w:widowControl/>
        <w:suppressLineNumbers w:val="0"/>
        <w:spacing w:before="0" w:beforeAutospacing="0" w:after="0" w:afterAutospacing="0" w:line="570" w:lineRule="exact"/>
        <w:ind w:left="640" w:leftChars="200" w:firstLine="0" w:firstLineChars="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1、响应文件递交截止时间：</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2024</w:t>
      </w:r>
      <w:r>
        <w:rPr>
          <w:rFonts w:hint="eastAsia" w:ascii="仿宋_GB2312" w:hAnsi="仿宋_GB2312" w:eastAsia="仿宋_GB2312"/>
          <w:color w:val="000000" w:themeColor="text1"/>
          <w:sz w:val="32"/>
          <w:szCs w:val="32"/>
          <w14:textFill>
            <w14:solidFill>
              <w14:schemeClr w14:val="tx1"/>
            </w14:solidFill>
          </w14:textFill>
        </w:rPr>
        <w:t>年</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olor w:val="000000" w:themeColor="text1"/>
          <w:sz w:val="32"/>
          <w:szCs w:val="32"/>
          <w14:textFill>
            <w14:solidFill>
              <w14:schemeClr w14:val="tx1"/>
            </w14:solidFill>
          </w14:textFill>
        </w:rPr>
        <w:t>月</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24日08:30</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olor w:val="000000" w:themeColor="text1"/>
          <w:sz w:val="32"/>
          <w:szCs w:val="32"/>
          <w14:textFill>
            <w14:solidFill>
              <w14:schemeClr w14:val="tx1"/>
            </w14:solidFill>
          </w14:textFill>
        </w:rPr>
        <w:t>（北京时间）</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2、谈判时间：截标后即开始评审。</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3、地点：</w:t>
      </w:r>
      <w:r>
        <w:rPr>
          <w:rFonts w:hint="eastAsia" w:ascii="仿宋_GB2312" w:hAnsi="仿宋_GB2312"/>
          <w:color w:val="000000" w:themeColor="text1"/>
          <w:sz w:val="32"/>
          <w:szCs w:val="32"/>
          <w:lang w:eastAsia="zh-CN"/>
          <w14:textFill>
            <w14:solidFill>
              <w14:schemeClr w14:val="tx1"/>
            </w14:solidFill>
          </w14:textFill>
        </w:rPr>
        <w:t>建邦大厦</w:t>
      </w:r>
      <w:r>
        <w:rPr>
          <w:rFonts w:hint="eastAsia" w:ascii="仿宋_GB2312" w:hAnsi="仿宋_GB2312"/>
          <w:color w:val="000000" w:themeColor="text1"/>
          <w:sz w:val="32"/>
          <w:szCs w:val="32"/>
          <w:lang w:val="en-US" w:eastAsia="zh-CN"/>
          <w14:textFill>
            <w14:solidFill>
              <w14:schemeClr w14:val="tx1"/>
            </w14:solidFill>
          </w14:textFill>
        </w:rPr>
        <w:t>3层</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九</w:t>
      </w:r>
      <w:r>
        <w:rPr>
          <w:rStyle w:val="17"/>
          <w:rFonts w:hint="eastAsia" w:ascii="仿宋_GB2312" w:hAnsi="仿宋_GB2312" w:eastAsia="仿宋_GB2312"/>
          <w:color w:val="000000" w:themeColor="text1"/>
          <w:sz w:val="32"/>
          <w:szCs w:val="32"/>
          <w14:textFill>
            <w14:solidFill>
              <w14:schemeClr w14:val="tx1"/>
            </w14:solidFill>
          </w14:textFill>
        </w:rPr>
        <w:t>、定标原则及办法</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1、评标活动遵循公平、公正、科学和择优的原则。</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2、谈判小组将根据本谈判文件各项要求综合评估，推荐出符合采购要求、符合项目质量和服务要求且报价由</w:t>
      </w:r>
      <w:r>
        <w:rPr>
          <w:rFonts w:hint="eastAsia" w:ascii="仿宋_GB2312" w:hAnsi="仿宋_GB2312"/>
          <w:color w:val="000000" w:themeColor="text1"/>
          <w:sz w:val="32"/>
          <w:szCs w:val="32"/>
          <w:lang w:eastAsia="zh-CN"/>
          <w14:textFill>
            <w14:solidFill>
              <w14:schemeClr w14:val="tx1"/>
            </w14:solidFill>
          </w14:textFill>
        </w:rPr>
        <w:t>低</w:t>
      </w:r>
      <w:r>
        <w:rPr>
          <w:rFonts w:hint="eastAsia" w:ascii="仿宋_GB2312" w:hAnsi="仿宋_GB2312" w:eastAsia="仿宋_GB2312"/>
          <w:color w:val="000000" w:themeColor="text1"/>
          <w:sz w:val="32"/>
          <w:szCs w:val="32"/>
          <w14:textFill>
            <w14:solidFill>
              <w14:schemeClr w14:val="tx1"/>
            </w14:solidFill>
          </w14:textFill>
        </w:rPr>
        <w:t>到</w:t>
      </w:r>
      <w:r>
        <w:rPr>
          <w:rFonts w:hint="eastAsia" w:ascii="仿宋_GB2312" w:hAnsi="仿宋_GB2312"/>
          <w:color w:val="000000" w:themeColor="text1"/>
          <w:sz w:val="32"/>
          <w:szCs w:val="32"/>
          <w:lang w:eastAsia="zh-CN"/>
          <w14:textFill>
            <w14:solidFill>
              <w14:schemeClr w14:val="tx1"/>
            </w14:solidFill>
          </w14:textFill>
        </w:rPr>
        <w:t>高</w:t>
      </w:r>
      <w:r>
        <w:rPr>
          <w:rFonts w:hint="eastAsia" w:ascii="仿宋_GB2312" w:hAnsi="仿宋_GB2312" w:eastAsia="仿宋_GB2312"/>
          <w:color w:val="000000" w:themeColor="text1"/>
          <w:sz w:val="32"/>
          <w:szCs w:val="32"/>
          <w14:textFill>
            <w14:solidFill>
              <w14:schemeClr w14:val="tx1"/>
            </w14:solidFill>
          </w14:textFill>
        </w:rPr>
        <w:t>前三名为本合同包成交候选人（若属于《政府采购非招标采购方式管理办法》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仿宋_GB2312" w:hAnsi="仿宋_GB2312" w:eastAsia="仿宋_GB2312"/>
          <w:color w:val="000000" w:themeColor="text1"/>
          <w:sz w:val="32"/>
          <w:szCs w:val="32"/>
          <w:lang w:eastAsia="zh-CN"/>
          <w14:textFill>
            <w14:solidFill>
              <w14:schemeClr w14:val="tx1"/>
            </w14:solidFill>
          </w14:textFill>
        </w:rPr>
        <w:t>低</w:t>
      </w:r>
      <w:r>
        <w:rPr>
          <w:rFonts w:hint="eastAsia" w:ascii="仿宋_GB2312" w:hAnsi="仿宋_GB2312" w:eastAsia="仿宋_GB2312"/>
          <w:color w:val="000000" w:themeColor="text1"/>
          <w:sz w:val="32"/>
          <w:szCs w:val="32"/>
          <w14:textFill>
            <w14:solidFill>
              <w14:schemeClr w14:val="tx1"/>
            </w14:solidFill>
          </w14:textFill>
        </w:rPr>
        <w:t>者为本项目成交人（若出现报价相同的情况，则由谈判小组按随机抽取方式确定最终成交候选人）。</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3、响应文件无效条款（不满足即为无效响应的实质性条款）及废标条款：</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3.1供应商若出现下列情形之一</w:t>
      </w:r>
      <w:r>
        <w:rPr>
          <w:rFonts w:hint="eastAsia" w:ascii="仿宋_GB2312" w:hAnsi="仿宋_GB2312"/>
          <w:color w:val="000000" w:themeColor="text1"/>
          <w:sz w:val="32"/>
          <w:lang w:eastAsia="zh-CN"/>
          <w14:textFill>
            <w14:solidFill>
              <w14:schemeClr w14:val="tx1"/>
            </w14:solidFill>
          </w14:textFill>
        </w:rPr>
        <w:t>的，</w:t>
      </w:r>
      <w:r>
        <w:rPr>
          <w:rFonts w:hint="eastAsia" w:ascii="仿宋_GB2312" w:hAnsi="仿宋_GB2312" w:eastAsia="仿宋_GB2312"/>
          <w:color w:val="000000" w:themeColor="text1"/>
          <w:sz w:val="32"/>
          <w:szCs w:val="32"/>
          <w14:textFill>
            <w14:solidFill>
              <w14:schemeClr w14:val="tx1"/>
            </w14:solidFill>
          </w14:textFill>
        </w:rPr>
        <w:t>将被视为未实质性响应谈判文件要求，按照无效</w:t>
      </w:r>
      <w:r>
        <w:rPr>
          <w:rFonts w:hint="eastAsia" w:ascii="仿宋_GB2312" w:hAnsi="仿宋_GB2312"/>
          <w:color w:val="000000" w:themeColor="text1"/>
          <w:sz w:val="32"/>
          <w:szCs w:val="32"/>
          <w:lang w:eastAsia="zh-CN"/>
          <w14:textFill>
            <w14:solidFill>
              <w14:schemeClr w14:val="tx1"/>
            </w14:solidFill>
          </w14:textFill>
        </w:rPr>
        <w:t>响应</w:t>
      </w:r>
      <w:r>
        <w:rPr>
          <w:rFonts w:hint="eastAsia" w:ascii="仿宋_GB2312" w:hAnsi="仿宋_GB2312" w:eastAsia="仿宋_GB2312"/>
          <w:color w:val="000000" w:themeColor="text1"/>
          <w:sz w:val="32"/>
          <w:szCs w:val="32"/>
          <w14:textFill>
            <w14:solidFill>
              <w14:schemeClr w14:val="tx1"/>
            </w14:solidFill>
          </w14:textFill>
        </w:rPr>
        <w:t>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(1)未符合谈判文件规定资格标准“供应商资格要求及审查办法”的按照无效响应处理；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(2)未符合《服务（货物）一览表》及“采购内容及要求”中的技术要求的按照无效响应处理；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(3)响应文件未按照谈判文件要求的规定进行密封、标记的；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(4)未按规定由供应商的法定代表人或其授权代表签字，或未加盖供应商公章的；或签字人未经法定代表人有效授权委托的；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 一个供应商不止投一个标；</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(6)供应商提交的是可选择的报价；</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(7)响应文件组成不符合谈判文件要求的；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(8)响应文件中提供虚假或失实资料的；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(9)未按规定签字、提交封面盖公章，并加盖骑缝章且每页盖公章(非报价专用章或业务章)的；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(10)供应商名称或组织结构与资格性审查时不一致且未提供有效证明的；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(11)响应文件附有采购人不能接受的条件；</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(12)不符合谈判文件中规定的实质性要求和条件、实质性条款、无效报价条款的。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3.2出现下列情形之一的，按废标处理：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①符合专业条件的供应商或者对谈判文件作实质响应的供应商不足</w:t>
      </w:r>
      <w:r>
        <w:rPr>
          <w:rFonts w:hint="eastAsia" w:ascii="仿宋_GB2312" w:hAnsi="仿宋_GB2312" w:eastAsia="仿宋_GB2312"/>
          <w:color w:val="000000" w:themeColor="text1"/>
          <w:sz w:val="32"/>
          <w:szCs w:val="32"/>
          <w:lang w:eastAsia="zh-CN"/>
          <w14:textFill>
            <w14:solidFill>
              <w14:schemeClr w14:val="tx1"/>
            </w14:solidFill>
          </w14:textFill>
        </w:rPr>
        <w:t>三</w:t>
      </w:r>
      <w:r>
        <w:rPr>
          <w:rFonts w:hint="eastAsia" w:ascii="仿宋_GB2312" w:hAnsi="仿宋_GB2312" w:eastAsia="仿宋_GB2312"/>
          <w:color w:val="000000" w:themeColor="text1"/>
          <w:sz w:val="32"/>
          <w:szCs w:val="32"/>
          <w14:textFill>
            <w14:solidFill>
              <w14:schemeClr w14:val="tx1"/>
            </w14:solidFill>
          </w14:textFill>
        </w:rPr>
        <w:t>家的；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②出现影响采购公正的违法、违规行为的；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③供应商的报价</w:t>
      </w:r>
      <w:r>
        <w:rPr>
          <w:rFonts w:hint="eastAsia" w:ascii="仿宋_GB2312" w:hAnsi="仿宋_GB2312" w:eastAsia="仿宋_GB2312"/>
          <w:color w:val="000000" w:themeColor="text1"/>
          <w:sz w:val="32"/>
          <w:szCs w:val="32"/>
          <w:lang w:eastAsia="zh-CN"/>
          <w14:textFill>
            <w14:solidFill>
              <w14:schemeClr w14:val="tx1"/>
            </w14:solidFill>
          </w14:textFill>
        </w:rPr>
        <w:t>高</w:t>
      </w:r>
      <w:r>
        <w:rPr>
          <w:rFonts w:hint="eastAsia" w:ascii="仿宋_GB2312" w:hAnsi="仿宋_GB2312" w:eastAsia="仿宋_GB2312"/>
          <w:color w:val="000000" w:themeColor="text1"/>
          <w:sz w:val="32"/>
          <w:szCs w:val="32"/>
          <w14:textFill>
            <w14:solidFill>
              <w14:schemeClr w14:val="tx1"/>
            </w14:solidFill>
          </w14:textFill>
        </w:rPr>
        <w:t>于最</w:t>
      </w:r>
      <w:r>
        <w:rPr>
          <w:rFonts w:hint="eastAsia" w:ascii="仿宋_GB2312" w:hAnsi="仿宋_GB2312" w:eastAsia="仿宋_GB2312"/>
          <w:color w:val="000000" w:themeColor="text1"/>
          <w:sz w:val="32"/>
          <w:szCs w:val="32"/>
          <w:lang w:eastAsia="zh-CN"/>
          <w14:textFill>
            <w14:solidFill>
              <w14:schemeClr w14:val="tx1"/>
            </w14:solidFill>
          </w14:textFill>
        </w:rPr>
        <w:t>高</w:t>
      </w:r>
      <w:r>
        <w:rPr>
          <w:rFonts w:hint="eastAsia" w:ascii="仿宋_GB2312" w:hAnsi="仿宋_GB2312" w:eastAsia="仿宋_GB2312"/>
          <w:color w:val="000000" w:themeColor="text1"/>
          <w:sz w:val="32"/>
          <w:szCs w:val="32"/>
          <w14:textFill>
            <w14:solidFill>
              <w14:schemeClr w14:val="tx1"/>
            </w14:solidFill>
          </w14:textFill>
        </w:rPr>
        <w:t>限价的；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④因重大变故，采购任务取消的。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4、供应商之间有相互串通投标、弄虚作假等违规行为者，将作废标处理，并在我院未来的项目</w:t>
      </w:r>
      <w:r>
        <w:rPr>
          <w:rFonts w:hint="eastAsia" w:ascii="仿宋_GB2312" w:hAnsi="仿宋_GB2312" w:eastAsia="仿宋_GB2312"/>
          <w:color w:val="000000" w:themeColor="text1"/>
          <w:sz w:val="32"/>
          <w:szCs w:val="32"/>
          <w:lang w:eastAsia="zh-CN"/>
          <w14:textFill>
            <w14:solidFill>
              <w14:schemeClr w14:val="tx1"/>
            </w14:solidFill>
          </w14:textFill>
        </w:rPr>
        <w:t>采购</w:t>
      </w:r>
      <w:r>
        <w:rPr>
          <w:rFonts w:hint="eastAsia" w:ascii="仿宋_GB2312" w:hAnsi="仿宋_GB2312" w:eastAsia="仿宋_GB2312"/>
          <w:color w:val="000000" w:themeColor="text1"/>
          <w:sz w:val="32"/>
          <w:szCs w:val="32"/>
          <w14:textFill>
            <w14:solidFill>
              <w14:schemeClr w14:val="tx1"/>
            </w14:solidFill>
          </w14:textFill>
        </w:rPr>
        <w:t>中被拒绝接受投标。</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十</w:t>
      </w:r>
      <w:r>
        <w:rPr>
          <w:rStyle w:val="17"/>
          <w:rFonts w:hint="eastAsia" w:ascii="仿宋_GB2312" w:hAnsi="仿宋_GB2312" w:eastAsia="仿宋_GB2312"/>
          <w:color w:val="000000" w:themeColor="text1"/>
          <w:sz w:val="32"/>
          <w:szCs w:val="32"/>
          <w14:textFill>
            <w14:solidFill>
              <w14:schemeClr w14:val="tx1"/>
            </w14:solidFill>
          </w14:textFill>
        </w:rPr>
        <w:t>、合同条款内容及签订</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1、合同签订：成交人在接到成交通知后3天内，应派代表与</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联系，商讨签订合同事宜。</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、合同签订地点：</w:t>
      </w:r>
      <w:r>
        <w:rPr>
          <w:rFonts w:hint="eastAsia" w:ascii="仿宋_GB2312" w:hAnsi="仿宋_GB2312"/>
          <w:color w:val="000000" w:themeColor="text1"/>
          <w:sz w:val="32"/>
          <w:szCs w:val="32"/>
          <w:lang w:eastAsia="zh-CN"/>
          <w14:textFill>
            <w14:solidFill>
              <w14:schemeClr w14:val="tx1"/>
            </w14:solidFill>
          </w14:textFill>
        </w:rPr>
        <w:t>福建省级机关医院</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55CA61"/>
    <w:multiLevelType w:val="singleLevel"/>
    <w:tmpl w:val="8A55CA6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displayHorizontalDrawingGridEvery w:val="1"/>
  <w:displayVerticalDrawingGridEvery w:val="1"/>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YzdiOWQ5YTJkNDEzODc3OTg0NzgxYTNiZTc2ZmMifQ=="/>
  </w:docVars>
  <w:rsids>
    <w:rsidRoot w:val="00000000"/>
    <w:rsid w:val="0BDC4F75"/>
    <w:rsid w:val="1E196325"/>
    <w:rsid w:val="258653C7"/>
    <w:rsid w:val="27BC0D01"/>
    <w:rsid w:val="2D9D5991"/>
    <w:rsid w:val="3012774A"/>
    <w:rsid w:val="309330F4"/>
    <w:rsid w:val="36967041"/>
    <w:rsid w:val="5458535D"/>
    <w:rsid w:val="5A0A6156"/>
    <w:rsid w:val="64826A15"/>
    <w:rsid w:val="6C181187"/>
    <w:rsid w:val="6F15772C"/>
    <w:rsid w:val="7594446B"/>
    <w:rsid w:val="775B554F"/>
    <w:rsid w:val="77693B91"/>
    <w:rsid w:val="79312F28"/>
    <w:rsid w:val="79B55907"/>
    <w:rsid w:val="7CCF75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3">
    <w:name w:val="annotation text"/>
    <w:basedOn w:val="1"/>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qFormat/>
    <w:uiPriority w:val="0"/>
    <w:rPr>
      <w:b/>
    </w:rPr>
  </w:style>
  <w:style w:type="paragraph" w:customStyle="1" w:styleId="10">
    <w:name w:val="标题 11"/>
    <w:basedOn w:val="1"/>
    <w:qFormat/>
    <w:uiPriority w:val="0"/>
    <w:pPr>
      <w:keepNext/>
      <w:keepLines/>
      <w:spacing w:before="340" w:beforeAutospacing="0" w:after="330" w:afterAutospacing="0" w:line="576" w:lineRule="auto"/>
      <w:outlineLvl w:val="0"/>
    </w:pPr>
    <w:rPr>
      <w:b/>
      <w:kern w:val="44"/>
      <w:sz w:val="32"/>
    </w:rPr>
  </w:style>
  <w:style w:type="paragraph" w:customStyle="1" w:styleId="11">
    <w:name w:val="标题 21"/>
    <w:basedOn w:val="1"/>
    <w:qFormat/>
    <w:uiPriority w:val="0"/>
    <w:pPr>
      <w:spacing w:before="100" w:beforeAutospacing="1" w:after="100" w:afterAutospacing="1"/>
      <w:jc w:val="left"/>
      <w:outlineLvl w:val="1"/>
    </w:pPr>
    <w:rPr>
      <w:rFonts w:hint="eastAsia" w:ascii="宋体" w:hAnsi="宋体" w:eastAsia="宋体"/>
      <w:b/>
      <w:kern w:val="0"/>
      <w:sz w:val="36"/>
      <w:szCs w:val="36"/>
      <w:lang w:val="en-US" w:eastAsia="zh-CN" w:bidi="ar"/>
    </w:rPr>
  </w:style>
  <w:style w:type="paragraph" w:customStyle="1" w:styleId="12">
    <w:name w:val="标题 51"/>
    <w:basedOn w:val="1"/>
    <w:qFormat/>
    <w:uiPriority w:val="0"/>
    <w:pPr>
      <w:spacing w:before="100" w:beforeAutospacing="1" w:after="100" w:afterAutospacing="1"/>
      <w:jc w:val="left"/>
      <w:outlineLvl w:val="4"/>
    </w:pPr>
    <w:rPr>
      <w:rFonts w:hint="eastAsia" w:ascii="宋体" w:hAnsi="宋体" w:eastAsia="宋体"/>
      <w:b/>
      <w:kern w:val="0"/>
      <w:sz w:val="20"/>
      <w:szCs w:val="20"/>
      <w:lang w:val="en-US" w:eastAsia="zh-CN" w:bidi="ar"/>
    </w:rPr>
  </w:style>
  <w:style w:type="character" w:customStyle="1" w:styleId="13">
    <w:name w:val="默认段落字体1"/>
    <w:link w:val="1"/>
    <w:semiHidden/>
    <w:qFormat/>
    <w:uiPriority w:val="0"/>
  </w:style>
  <w:style w:type="table" w:customStyle="1" w:styleId="14">
    <w:name w:val="普通表格1"/>
    <w:semiHidden/>
    <w:qFormat/>
    <w:uiPriority w:val="0"/>
  </w:style>
  <w:style w:type="paragraph" w:customStyle="1" w:styleId="15">
    <w:name w:val="页脚1"/>
    <w:basedOn w:val="1"/>
    <w:qFormat/>
    <w:uiPriority w:val="0"/>
    <w:pPr>
      <w:tabs>
        <w:tab w:val="center" w:pos="4153"/>
        <w:tab w:val="right" w:pos="8306"/>
      </w:tabs>
      <w:snapToGrid w:val="0"/>
      <w:jc w:val="left"/>
    </w:pPr>
    <w:rPr>
      <w:sz w:val="18"/>
    </w:rPr>
  </w:style>
  <w:style w:type="paragraph" w:customStyle="1" w:styleId="16">
    <w:name w:val="普通(网站)1"/>
    <w:basedOn w:val="1"/>
    <w:qFormat/>
    <w:uiPriority w:val="0"/>
    <w:pPr>
      <w:spacing w:before="100" w:beforeAutospacing="1" w:after="100" w:afterAutospacing="1"/>
      <w:ind w:left="0" w:right="0"/>
      <w:jc w:val="left"/>
    </w:pPr>
    <w:rPr>
      <w:kern w:val="0"/>
      <w:sz w:val="24"/>
      <w:lang w:val="en-US" w:eastAsia="zh-CN" w:bidi="ar"/>
    </w:rPr>
  </w:style>
  <w:style w:type="character" w:customStyle="1" w:styleId="17">
    <w:name w:val="要点1"/>
    <w:basedOn w:val="13"/>
    <w:link w:val="1"/>
    <w:qFormat/>
    <w:uiPriority w:val="0"/>
    <w:rPr>
      <w:b/>
    </w:rPr>
  </w:style>
  <w:style w:type="character" w:customStyle="1" w:styleId="18">
    <w:name w:val="超链接1"/>
    <w:basedOn w:val="13"/>
    <w:link w:val="1"/>
    <w:qFormat/>
    <w:uiPriority w:val="0"/>
    <w:rPr>
      <w:color w:val="0000FF"/>
      <w:u w:val="single"/>
    </w:rPr>
  </w:style>
  <w:style w:type="paragraph" w:customStyle="1" w:styleId="19">
    <w:name w:val="null3"/>
    <w:qFormat/>
    <w:uiPriority w:val="0"/>
    <w:rPr>
      <w:rFonts w:hint="eastAsia" w:ascii="Calibri" w:hAnsi="Calibri" w:eastAsia="宋体" w:cs="Times New Roman"/>
      <w:lang w:val="en-US"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19</Pages>
  <Words>8254</Words>
  <Characters>8722</Characters>
  <Lines>0</Lines>
  <Paragraphs>0</Paragraphs>
  <TotalTime>9</TotalTime>
  <ScaleCrop>false</ScaleCrop>
  <LinksUpToDate>false</LinksUpToDate>
  <CharactersWithSpaces>8745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2024-06-11T07:02:00Z</dcterms:created>
  <dc:creator>李燕琼</dc:creator>
  <cp:lastModifiedBy>李燕琼</cp:lastModifiedBy>
  <dcterms:modified xsi:type="dcterms:W3CDTF">2024-06-18T03:59:44Z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86060B3E58EE480DBE290F1EE804D4FE_12</vt:lpwstr>
  </property>
</Properties>
</file>