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EB397E">
      <w:pPr>
        <w:keepNext w:val="0"/>
        <w:keepLines w:val="0"/>
        <w:pageBreakBefore w:val="0"/>
        <w:widowControl/>
        <w:numPr>
          <w:ilvl w:val="0"/>
          <w:numId w:val="0"/>
        </w:numPr>
        <w:kinsoku/>
        <w:wordWrap/>
        <w:overflowPunct/>
        <w:topLinePunct w:val="0"/>
        <w:autoSpaceDE/>
        <w:autoSpaceDN/>
        <w:bidi w:val="0"/>
        <w:adjustRightInd/>
        <w:snapToGrid/>
        <w:spacing w:line="320" w:lineRule="exact"/>
        <w:jc w:val="center"/>
        <w:rPr>
          <w:rFonts w:hint="default"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lang w:val="en-US" w:eastAsia="zh-CN"/>
        </w:rPr>
        <w:t>福建省级机关医院纳龙系统接口升级改造项目</w:t>
      </w:r>
    </w:p>
    <w:p w14:paraId="207AF3DC">
      <w:pPr>
        <w:keepNext w:val="0"/>
        <w:keepLines w:val="0"/>
        <w:pageBreakBefore w:val="0"/>
        <w:widowControl/>
        <w:numPr>
          <w:ilvl w:val="0"/>
          <w:numId w:val="0"/>
        </w:numPr>
        <w:kinsoku/>
        <w:wordWrap/>
        <w:overflowPunct/>
        <w:topLinePunct w:val="0"/>
        <w:autoSpaceDE/>
        <w:autoSpaceDN/>
        <w:bidi w:val="0"/>
        <w:adjustRightInd/>
        <w:snapToGrid/>
        <w:spacing w:line="320" w:lineRule="exact"/>
        <w:jc w:val="center"/>
        <w:rPr>
          <w:rFonts w:hint="eastAsia" w:ascii="方正小标宋简体" w:hAnsi="方正小标宋简体" w:eastAsia="方正小标宋简体" w:cs="方正小标宋简体"/>
          <w:color w:val="auto"/>
          <w:sz w:val="32"/>
          <w:szCs w:val="32"/>
          <w:highlight w:val="none"/>
          <w:lang w:val="en-US" w:eastAsia="zh-CN"/>
        </w:rPr>
      </w:pPr>
      <w:r>
        <w:rPr>
          <w:rFonts w:hint="eastAsia" w:ascii="方正小标宋简体" w:hAnsi="方正小标宋简体" w:eastAsia="方正小标宋简体" w:cs="方正小标宋简体"/>
          <w:color w:val="auto"/>
          <w:sz w:val="32"/>
          <w:szCs w:val="32"/>
          <w:highlight w:val="none"/>
          <w:lang w:val="en-US" w:eastAsia="zh-CN"/>
        </w:rPr>
        <w:t>院内自行采购文件</w:t>
      </w:r>
    </w:p>
    <w:p w14:paraId="54106785">
      <w:pPr>
        <w:pStyle w:val="17"/>
        <w:keepNext w:val="0"/>
        <w:keepLines w:val="0"/>
        <w:pageBreakBefore w:val="0"/>
        <w:kinsoku/>
        <w:wordWrap/>
        <w:topLinePunct w:val="0"/>
        <w:bidi w:val="0"/>
        <w:snapToGrid/>
        <w:spacing w:line="320" w:lineRule="exact"/>
        <w:rPr>
          <w:rFonts w:hint="eastAsia"/>
          <w:lang w:eastAsia="zh-CN"/>
        </w:rPr>
      </w:pPr>
    </w:p>
    <w:p w14:paraId="0E324534">
      <w:pPr>
        <w:keepNext w:val="0"/>
        <w:keepLines w:val="0"/>
        <w:pageBreakBefore w:val="0"/>
        <w:widowControl/>
        <w:kinsoku/>
        <w:wordWrap/>
        <w:overflowPunct/>
        <w:topLinePunct w:val="0"/>
        <w:autoSpaceDE/>
        <w:autoSpaceDN/>
        <w:bidi w:val="0"/>
        <w:adjustRightInd/>
        <w:snapToGrid/>
        <w:spacing w:line="36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eastAsia="zh-CN"/>
        </w:rPr>
        <w:t>福建省级机关医院</w:t>
      </w:r>
      <w:r>
        <w:rPr>
          <w:rFonts w:hint="eastAsia" w:ascii="方正仿宋_GB2312" w:hAnsi="方正仿宋_GB2312" w:eastAsia="方正仿宋_GB2312" w:cs="方正仿宋_GB2312"/>
          <w:color w:val="auto"/>
          <w:sz w:val="28"/>
          <w:szCs w:val="28"/>
          <w:highlight w:val="none"/>
        </w:rPr>
        <w:t>组织院内</w:t>
      </w:r>
      <w:r>
        <w:rPr>
          <w:rFonts w:hint="eastAsia" w:ascii="方正仿宋_GB2312" w:hAnsi="方正仿宋_GB2312" w:eastAsia="方正仿宋_GB2312" w:cs="方正仿宋_GB2312"/>
          <w:color w:val="auto"/>
          <w:sz w:val="28"/>
          <w:szCs w:val="28"/>
          <w:highlight w:val="none"/>
          <w:lang w:eastAsia="zh-CN"/>
        </w:rPr>
        <w:t>采购</w:t>
      </w:r>
      <w:r>
        <w:rPr>
          <w:rFonts w:hint="eastAsia" w:ascii="方正仿宋_GB2312" w:hAnsi="方正仿宋_GB2312" w:eastAsia="方正仿宋_GB2312" w:cs="方正仿宋_GB2312"/>
          <w:color w:val="auto"/>
          <w:sz w:val="28"/>
          <w:szCs w:val="28"/>
          <w:highlight w:val="none"/>
        </w:rPr>
        <w:t>活动，现欢迎国内合格的供应商前来提交密封的响应文件。</w:t>
      </w:r>
    </w:p>
    <w:p w14:paraId="41073D2A">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2" w:firstLineChars="200"/>
        <w:rPr>
          <w:rFonts w:hint="eastAsia" w:ascii="方正仿宋_GB2312" w:hAnsi="方正仿宋_GB2312" w:eastAsia="方正仿宋_GB2312" w:cs="方正仿宋_GB2312"/>
          <w:b/>
          <w:bCs w:val="0"/>
          <w:color w:val="auto"/>
          <w:sz w:val="28"/>
          <w:szCs w:val="28"/>
          <w:highlight w:val="none"/>
        </w:rPr>
      </w:pPr>
      <w:r>
        <w:rPr>
          <w:rStyle w:val="15"/>
          <w:rFonts w:hint="eastAsia" w:ascii="方正仿宋_GB2312" w:hAnsi="方正仿宋_GB2312" w:eastAsia="方正仿宋_GB2312" w:cs="方正仿宋_GB2312"/>
          <w:b/>
          <w:bCs w:val="0"/>
          <w:color w:val="auto"/>
          <w:sz w:val="28"/>
          <w:szCs w:val="28"/>
          <w:highlight w:val="none"/>
          <w:lang w:eastAsia="zh-CN"/>
        </w:rPr>
        <w:t>一、采购</w:t>
      </w:r>
      <w:r>
        <w:rPr>
          <w:rStyle w:val="15"/>
          <w:rFonts w:hint="eastAsia" w:ascii="方正仿宋_GB2312" w:hAnsi="方正仿宋_GB2312" w:eastAsia="方正仿宋_GB2312" w:cs="方正仿宋_GB2312"/>
          <w:b/>
          <w:bCs w:val="0"/>
          <w:color w:val="auto"/>
          <w:sz w:val="28"/>
          <w:szCs w:val="28"/>
          <w:highlight w:val="none"/>
        </w:rPr>
        <w:t>项目概况和范围</w:t>
      </w:r>
    </w:p>
    <w:p w14:paraId="283A8A5A">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560" w:firstLineChars="200"/>
        <w:jc w:val="both"/>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z w:val="28"/>
          <w:szCs w:val="28"/>
          <w:highlight w:val="none"/>
          <w:lang w:val="en-US" w:eastAsia="zh-CN"/>
        </w:rPr>
        <w:t>1.</w:t>
      </w:r>
      <w:r>
        <w:rPr>
          <w:rFonts w:hint="eastAsia" w:ascii="方正仿宋_GB2312" w:hAnsi="方正仿宋_GB2312" w:eastAsia="方正仿宋_GB2312" w:cs="方正仿宋_GB2312"/>
          <w:color w:val="auto"/>
          <w:sz w:val="28"/>
          <w:szCs w:val="28"/>
          <w:highlight w:val="none"/>
        </w:rPr>
        <w:t>项目名称：福建省级机关医院纳龙系统接口升级改造</w:t>
      </w:r>
      <w:r>
        <w:rPr>
          <w:rFonts w:hint="eastAsia" w:ascii="方正仿宋_GB2312" w:hAnsi="方正仿宋_GB2312" w:eastAsia="方正仿宋_GB2312" w:cs="方正仿宋_GB2312"/>
          <w:color w:val="auto"/>
          <w:sz w:val="28"/>
          <w:szCs w:val="28"/>
          <w:highlight w:val="none"/>
          <w:lang w:val="en-US" w:eastAsia="zh-CN"/>
        </w:rPr>
        <w:t>院内自行采购项目</w:t>
      </w:r>
    </w:p>
    <w:p w14:paraId="0DD970BF">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0" w:firstLineChars="200"/>
        <w:rPr>
          <w:rFonts w:hint="default"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lang w:eastAsia="zh-CN"/>
        </w:rPr>
        <w:t>项目编号：</w:t>
      </w:r>
      <w:r>
        <w:rPr>
          <w:rFonts w:hint="eastAsia" w:ascii="方正仿宋_GB2312" w:hAnsi="方正仿宋_GB2312" w:eastAsia="方正仿宋_GB2312" w:cs="方正仿宋_GB2312"/>
          <w:color w:val="auto"/>
          <w:sz w:val="28"/>
          <w:szCs w:val="28"/>
          <w:highlight w:val="none"/>
          <w:lang w:val="en-US" w:eastAsia="zh-CN"/>
        </w:rPr>
        <w:t>FJSJJGYY-XXK-2025-05（NLXTJKSJGZ）</w:t>
      </w:r>
    </w:p>
    <w:p w14:paraId="25FFC6E1">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3.</w:t>
      </w:r>
      <w:r>
        <w:rPr>
          <w:rFonts w:hint="eastAsia" w:ascii="方正仿宋_GB2312" w:hAnsi="方正仿宋_GB2312" w:eastAsia="方正仿宋_GB2312" w:cs="方正仿宋_GB2312"/>
          <w:color w:val="auto"/>
          <w:sz w:val="28"/>
          <w:szCs w:val="28"/>
          <w:highlight w:val="none"/>
          <w:lang w:eastAsia="zh-CN"/>
        </w:rPr>
        <w:t>采购</w:t>
      </w:r>
      <w:r>
        <w:rPr>
          <w:rFonts w:hint="eastAsia" w:ascii="方正仿宋_GB2312" w:hAnsi="方正仿宋_GB2312" w:eastAsia="方正仿宋_GB2312" w:cs="方正仿宋_GB2312"/>
          <w:color w:val="auto"/>
          <w:sz w:val="28"/>
          <w:szCs w:val="28"/>
          <w:highlight w:val="none"/>
        </w:rPr>
        <w:t>范围和内容：详见本项目采购内容及要求中的全部内容。</w:t>
      </w:r>
    </w:p>
    <w:p w14:paraId="156C75AE">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4.</w:t>
      </w:r>
      <w:r>
        <w:rPr>
          <w:rFonts w:hint="eastAsia" w:ascii="方正仿宋_GB2312" w:hAnsi="方正仿宋_GB2312" w:eastAsia="方正仿宋_GB2312" w:cs="方正仿宋_GB2312"/>
          <w:color w:val="auto"/>
          <w:sz w:val="28"/>
          <w:szCs w:val="28"/>
          <w:highlight w:val="none"/>
        </w:rPr>
        <w:t>本项目预算金额：</w:t>
      </w:r>
      <w:r>
        <w:rPr>
          <w:rFonts w:hint="eastAsia" w:ascii="方正仿宋_GB2312" w:hAnsi="方正仿宋_GB2312" w:eastAsia="方正仿宋_GB2312" w:cs="方正仿宋_GB2312"/>
          <w:color w:val="auto"/>
          <w:sz w:val="28"/>
          <w:szCs w:val="28"/>
          <w:highlight w:val="none"/>
          <w:lang w:val="en-US" w:eastAsia="zh-CN"/>
        </w:rPr>
        <w:t>50000.00</w:t>
      </w:r>
      <w:r>
        <w:rPr>
          <w:rFonts w:hint="eastAsia" w:ascii="方正仿宋_GB2312" w:hAnsi="方正仿宋_GB2312" w:eastAsia="方正仿宋_GB2312" w:cs="方正仿宋_GB2312"/>
          <w:color w:val="auto"/>
          <w:sz w:val="28"/>
          <w:szCs w:val="28"/>
          <w:highlight w:val="none"/>
        </w:rPr>
        <w:t>元</w:t>
      </w:r>
    </w:p>
    <w:p w14:paraId="75A4CF33">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0" w:firstLineChars="200"/>
        <w:rPr>
          <w:rFonts w:hint="default"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5.服务期限：</w:t>
      </w:r>
      <w:r>
        <w:rPr>
          <w:rStyle w:val="15"/>
          <w:rFonts w:hint="eastAsia" w:ascii="仿宋" w:hAnsi="仿宋" w:eastAsia="仿宋" w:cs="仿宋"/>
          <w:b w:val="0"/>
          <w:sz w:val="28"/>
          <w:szCs w:val="28"/>
        </w:rPr>
        <w:t>合同签订</w:t>
      </w:r>
      <w:r>
        <w:rPr>
          <w:rStyle w:val="15"/>
          <w:rFonts w:hint="eastAsia" w:ascii="仿宋" w:hAnsi="仿宋" w:eastAsia="仿宋" w:cs="仿宋"/>
          <w:b w:val="0"/>
          <w:sz w:val="28"/>
          <w:szCs w:val="28"/>
          <w:lang w:val="en-US" w:eastAsia="zh-CN"/>
        </w:rPr>
        <w:t>之日30天内完成项目安装、调试。</w:t>
      </w:r>
    </w:p>
    <w:p w14:paraId="1D930587">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6.</w:t>
      </w:r>
      <w:r>
        <w:rPr>
          <w:rFonts w:hint="eastAsia" w:ascii="方正仿宋_GB2312" w:hAnsi="方正仿宋_GB2312" w:eastAsia="方正仿宋_GB2312" w:cs="方正仿宋_GB2312"/>
          <w:color w:val="auto"/>
          <w:sz w:val="28"/>
          <w:szCs w:val="28"/>
          <w:highlight w:val="none"/>
        </w:rPr>
        <w:t>服务（货物）一览表</w:t>
      </w:r>
    </w:p>
    <w:tbl>
      <w:tblPr>
        <w:tblStyle w:val="12"/>
        <w:tblW w:w="95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93"/>
        <w:gridCol w:w="1128"/>
        <w:gridCol w:w="3016"/>
        <w:gridCol w:w="1093"/>
        <w:gridCol w:w="1700"/>
        <w:gridCol w:w="1555"/>
      </w:tblGrid>
      <w:tr w14:paraId="1E074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0" w:hRule="atLeast"/>
          <w:jc w:val="center"/>
        </w:trPr>
        <w:tc>
          <w:tcPr>
            <w:tcW w:w="1146" w:type="dxa"/>
            <w:shd w:val="clear" w:color="auto" w:fill="auto"/>
            <w:vAlign w:val="center"/>
          </w:tcPr>
          <w:p w14:paraId="1129BA5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合同包</w:t>
            </w:r>
          </w:p>
        </w:tc>
        <w:tc>
          <w:tcPr>
            <w:tcW w:w="1169" w:type="dxa"/>
            <w:shd w:val="clear" w:color="auto" w:fill="auto"/>
            <w:vAlign w:val="center"/>
          </w:tcPr>
          <w:p w14:paraId="5E229BF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品目号</w:t>
            </w:r>
          </w:p>
        </w:tc>
        <w:tc>
          <w:tcPr>
            <w:tcW w:w="2736" w:type="dxa"/>
            <w:shd w:val="clear" w:color="auto" w:fill="auto"/>
            <w:vAlign w:val="center"/>
          </w:tcPr>
          <w:p w14:paraId="53DA64D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采购标的</w:t>
            </w:r>
          </w:p>
        </w:tc>
        <w:tc>
          <w:tcPr>
            <w:tcW w:w="1146" w:type="dxa"/>
            <w:shd w:val="clear" w:color="auto" w:fill="auto"/>
            <w:vAlign w:val="center"/>
          </w:tcPr>
          <w:p w14:paraId="597FFD2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数量</w:t>
            </w:r>
          </w:p>
        </w:tc>
        <w:tc>
          <w:tcPr>
            <w:tcW w:w="1740" w:type="dxa"/>
            <w:shd w:val="clear" w:color="auto" w:fill="auto"/>
            <w:vAlign w:val="center"/>
          </w:tcPr>
          <w:p w14:paraId="2B23046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合同包预算（元）</w:t>
            </w:r>
          </w:p>
        </w:tc>
        <w:tc>
          <w:tcPr>
            <w:tcW w:w="1648" w:type="dxa"/>
            <w:shd w:val="clear" w:color="auto" w:fill="auto"/>
            <w:vAlign w:val="center"/>
          </w:tcPr>
          <w:p w14:paraId="276F4E7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服务地点</w:t>
            </w:r>
          </w:p>
        </w:tc>
      </w:tr>
      <w:tr w14:paraId="6B40C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15" w:hRule="atLeast"/>
          <w:jc w:val="center"/>
        </w:trPr>
        <w:tc>
          <w:tcPr>
            <w:tcW w:w="1146" w:type="dxa"/>
            <w:shd w:val="clear" w:color="auto" w:fill="auto"/>
            <w:vAlign w:val="center"/>
          </w:tcPr>
          <w:p w14:paraId="1FB1148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1</w:t>
            </w:r>
          </w:p>
        </w:tc>
        <w:tc>
          <w:tcPr>
            <w:tcW w:w="1169" w:type="dxa"/>
            <w:shd w:val="clear" w:color="auto" w:fill="auto"/>
            <w:vAlign w:val="center"/>
          </w:tcPr>
          <w:p w14:paraId="1A0E23E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1-1</w:t>
            </w:r>
          </w:p>
        </w:tc>
        <w:tc>
          <w:tcPr>
            <w:tcW w:w="0" w:type="auto"/>
            <w:shd w:val="clear" w:color="auto" w:fill="auto"/>
            <w:noWrap/>
            <w:vAlign w:val="center"/>
          </w:tcPr>
          <w:p w14:paraId="07C4E09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方正仿宋_GB2312" w:hAnsi="方正仿宋_GB2312" w:eastAsia="方正仿宋_GB2312" w:cs="方正仿宋_GB2312"/>
                <w:i w:val="0"/>
                <w:iCs w:val="0"/>
                <w:color w:val="auto"/>
                <w:sz w:val="28"/>
                <w:szCs w:val="28"/>
                <w:highlight w:val="none"/>
                <w:u w:val="none"/>
                <w:lang w:val="en-US" w:eastAsia="zh-CN"/>
              </w:rPr>
            </w:pPr>
            <w:r>
              <w:rPr>
                <w:rFonts w:hint="eastAsia" w:ascii="方正仿宋_GB2312" w:hAnsi="方正仿宋_GB2312" w:eastAsia="方正仿宋_GB2312" w:cs="方正仿宋_GB2312"/>
                <w:i w:val="0"/>
                <w:iCs w:val="0"/>
                <w:color w:val="auto"/>
                <w:sz w:val="28"/>
                <w:szCs w:val="28"/>
                <w:highlight w:val="none"/>
                <w:u w:val="none"/>
                <w:lang w:val="en-US" w:eastAsia="zh-CN"/>
              </w:rPr>
              <w:t>纳龙系统接口升级改造</w:t>
            </w:r>
          </w:p>
        </w:tc>
        <w:tc>
          <w:tcPr>
            <w:tcW w:w="1146" w:type="dxa"/>
            <w:shd w:val="clear" w:color="auto" w:fill="auto"/>
            <w:vAlign w:val="center"/>
          </w:tcPr>
          <w:p w14:paraId="61A98A6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lang w:val="en-US"/>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1项</w:t>
            </w:r>
          </w:p>
        </w:tc>
        <w:tc>
          <w:tcPr>
            <w:tcW w:w="1740" w:type="dxa"/>
            <w:shd w:val="clear" w:color="auto" w:fill="auto"/>
            <w:vAlign w:val="center"/>
          </w:tcPr>
          <w:p w14:paraId="6518CB6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方正仿宋_GB2312" w:hAnsi="方正仿宋_GB2312" w:eastAsia="方正仿宋_GB2312" w:cs="方正仿宋_GB2312"/>
                <w:i w:val="0"/>
                <w:iCs w:val="0"/>
                <w:color w:val="auto"/>
                <w:sz w:val="28"/>
                <w:szCs w:val="28"/>
                <w:highlight w:val="none"/>
                <w:u w:val="none"/>
                <w:lang w:val="en-US"/>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50000.00</w:t>
            </w:r>
          </w:p>
        </w:tc>
        <w:tc>
          <w:tcPr>
            <w:tcW w:w="1648" w:type="dxa"/>
            <w:shd w:val="clear" w:color="auto" w:fill="auto"/>
            <w:vAlign w:val="center"/>
          </w:tcPr>
          <w:p w14:paraId="1A18244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福建省级机关医院</w:t>
            </w:r>
          </w:p>
        </w:tc>
      </w:tr>
    </w:tbl>
    <w:p w14:paraId="374A521F">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0" w:firstLineChars="200"/>
        <w:rPr>
          <w:rFonts w:hint="eastAsia" w:ascii="方正仿宋_GB2312" w:hAnsi="方正仿宋_GB2312" w:eastAsia="方正仿宋_GB2312" w:cs="方正仿宋_GB2312"/>
          <w:i w:val="0"/>
          <w:iCs w:val="0"/>
          <w:color w:val="auto"/>
          <w:kern w:val="0"/>
          <w:sz w:val="28"/>
          <w:szCs w:val="28"/>
          <w:highlight w:val="none"/>
          <w:u w:val="none"/>
          <w:lang w:val="en-US" w:eastAsia="zh-CN" w:bidi="ar"/>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注：（1）本项目预算价人民币50000.00元为最高限价。供应商报价超过各单价限价和最高限价的为无效报价。供应商可依据市场行情和自身情况，自由竞价。</w:t>
      </w:r>
      <w:r>
        <w:rPr>
          <w:rFonts w:hint="eastAsia" w:ascii="仿宋" w:hAnsi="仿宋" w:eastAsia="仿宋" w:cs="仿宋"/>
          <w:sz w:val="28"/>
          <w:szCs w:val="28"/>
        </w:rPr>
        <w:t>本项目所发生的一切费用（如货物及运输、安装、调试、检验、质保、培训、与医院</w:t>
      </w:r>
      <w:r>
        <w:rPr>
          <w:rFonts w:hint="eastAsia" w:ascii="仿宋" w:hAnsi="仿宋" w:eastAsia="仿宋" w:cs="仿宋"/>
          <w:sz w:val="28"/>
          <w:szCs w:val="28"/>
          <w:lang w:val="en-US" w:eastAsia="zh-CN"/>
        </w:rPr>
        <w:t>各信息</w:t>
      </w:r>
      <w:r>
        <w:rPr>
          <w:rFonts w:hint="eastAsia" w:ascii="仿宋" w:hAnsi="仿宋" w:eastAsia="仿宋" w:cs="仿宋"/>
          <w:sz w:val="28"/>
          <w:szCs w:val="28"/>
        </w:rPr>
        <w:t>系统的接口费等所有其他有关各项的含税费用）均包含在报价中。</w:t>
      </w:r>
      <w:bookmarkStart w:id="0" w:name="_GoBack"/>
      <w:bookmarkEnd w:id="0"/>
    </w:p>
    <w:p w14:paraId="1EDE36F7">
      <w:pPr>
        <w:keepNext w:val="0"/>
        <w:keepLines w:val="0"/>
        <w:pageBreakBefore w:val="0"/>
        <w:numPr>
          <w:ilvl w:val="0"/>
          <w:numId w:val="1"/>
        </w:numPr>
        <w:kinsoku/>
        <w:wordWrap/>
        <w:overflowPunct/>
        <w:topLinePunct w:val="0"/>
        <w:bidi w:val="0"/>
        <w:snapToGrid/>
        <w:spacing w:line="360" w:lineRule="exact"/>
        <w:ind w:firstLine="560" w:firstLineChars="200"/>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成交人安装结束后应在规定的交付使用时间之前将废物移离现场，清理妥当，费用由成交人负责。</w:t>
      </w:r>
    </w:p>
    <w:p w14:paraId="627D83C3">
      <w:pPr>
        <w:pStyle w:val="26"/>
        <w:keepNext w:val="0"/>
        <w:keepLines w:val="0"/>
        <w:pageBreakBefore w:val="0"/>
        <w:kinsoku/>
        <w:wordWrap/>
        <w:overflowPunct/>
        <w:topLinePunct w:val="0"/>
        <w:bidi w:val="0"/>
        <w:snapToGrid/>
        <w:spacing w:line="360" w:lineRule="exact"/>
        <w:ind w:firstLine="560" w:firstLineChars="200"/>
        <w:jc w:val="left"/>
        <w:rPr>
          <w:rFonts w:hint="eastAsia" w:ascii="方正仿宋_GB2312" w:hAnsi="方正仿宋_GB2312" w:eastAsia="方正仿宋_GB2312" w:cs="方正仿宋_GB2312"/>
          <w:color w:val="auto"/>
          <w:sz w:val="28"/>
          <w:szCs w:val="28"/>
        </w:rPr>
      </w:pPr>
      <w:r>
        <w:rPr>
          <w:rFonts w:hint="eastAsia" w:ascii="方正仿宋_GB2312" w:hAnsi="方正仿宋_GB2312" w:eastAsia="方正仿宋_GB2312" w:cs="方正仿宋_GB2312"/>
          <w:color w:val="auto"/>
          <w:sz w:val="28"/>
          <w:szCs w:val="28"/>
          <w:lang w:val="en-US" w:eastAsia="zh-CN"/>
        </w:rPr>
        <w:t>6.</w:t>
      </w:r>
      <w:r>
        <w:rPr>
          <w:rFonts w:hint="eastAsia" w:ascii="方正仿宋_GB2312" w:hAnsi="方正仿宋_GB2312" w:eastAsia="方正仿宋_GB2312" w:cs="方正仿宋_GB2312"/>
          <w:color w:val="auto"/>
          <w:sz w:val="28"/>
          <w:szCs w:val="28"/>
          <w:highlight w:val="none"/>
        </w:rPr>
        <w:t>本项目</w:t>
      </w:r>
      <w:r>
        <w:rPr>
          <w:rFonts w:hint="eastAsia" w:ascii="方正仿宋_GB2312" w:hAnsi="方正仿宋_GB2312" w:eastAsia="方正仿宋_GB2312" w:cs="方正仿宋_GB2312"/>
          <w:color w:val="auto"/>
          <w:sz w:val="28"/>
          <w:szCs w:val="28"/>
          <w:highlight w:val="none"/>
          <w:lang w:val="en-US" w:eastAsia="zh-CN"/>
        </w:rPr>
        <w:t>采用最低价成交法，</w:t>
      </w:r>
      <w:r>
        <w:rPr>
          <w:rFonts w:hint="eastAsia" w:ascii="方正仿宋_GB2312" w:hAnsi="方正仿宋_GB2312" w:eastAsia="方正仿宋_GB2312" w:cs="方正仿宋_GB2312"/>
          <w:color w:val="auto"/>
          <w:sz w:val="28"/>
          <w:szCs w:val="28"/>
        </w:rPr>
        <w:t>价格扣除的规则如下：</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991"/>
        <w:gridCol w:w="4153"/>
      </w:tblGrid>
      <w:tr w14:paraId="57FAEF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20735B46">
            <w:pPr>
              <w:pStyle w:val="26"/>
              <w:keepNext w:val="0"/>
              <w:keepLines w:val="0"/>
              <w:pageBreakBefore w:val="0"/>
              <w:kinsoku/>
              <w:wordWrap/>
              <w:overflowPunct/>
              <w:topLinePunct w:val="0"/>
              <w:bidi w:val="0"/>
              <w:snapToGrid/>
              <w:spacing w:line="36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 xml:space="preserve"> 项目</w:t>
            </w:r>
          </w:p>
        </w:tc>
        <w:tc>
          <w:tcPr>
            <w:tcW w:w="1661" w:type="dxa"/>
          </w:tcPr>
          <w:p w14:paraId="7825EB27">
            <w:pPr>
              <w:pStyle w:val="26"/>
              <w:keepNext w:val="0"/>
              <w:keepLines w:val="0"/>
              <w:pageBreakBefore w:val="0"/>
              <w:kinsoku/>
              <w:wordWrap/>
              <w:overflowPunct/>
              <w:topLinePunct w:val="0"/>
              <w:bidi w:val="0"/>
              <w:snapToGrid/>
              <w:spacing w:line="36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 xml:space="preserve"> 适用对象</w:t>
            </w:r>
          </w:p>
        </w:tc>
        <w:tc>
          <w:tcPr>
            <w:tcW w:w="831" w:type="dxa"/>
          </w:tcPr>
          <w:p w14:paraId="25B3413D">
            <w:pPr>
              <w:pStyle w:val="26"/>
              <w:keepNext w:val="0"/>
              <w:keepLines w:val="0"/>
              <w:pageBreakBefore w:val="0"/>
              <w:kinsoku/>
              <w:wordWrap/>
              <w:overflowPunct/>
              <w:topLinePunct w:val="0"/>
              <w:bidi w:val="0"/>
              <w:snapToGrid/>
              <w:spacing w:line="36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 xml:space="preserve"> 比例</w:t>
            </w:r>
          </w:p>
        </w:tc>
        <w:tc>
          <w:tcPr>
            <w:tcW w:w="4153" w:type="dxa"/>
          </w:tcPr>
          <w:p w14:paraId="136852B4">
            <w:pPr>
              <w:pStyle w:val="26"/>
              <w:keepNext w:val="0"/>
              <w:keepLines w:val="0"/>
              <w:pageBreakBefore w:val="0"/>
              <w:kinsoku/>
              <w:wordWrap/>
              <w:overflowPunct/>
              <w:topLinePunct w:val="0"/>
              <w:bidi w:val="0"/>
              <w:snapToGrid/>
              <w:spacing w:line="36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 xml:space="preserve"> 描述</w:t>
            </w:r>
          </w:p>
        </w:tc>
      </w:tr>
      <w:tr w14:paraId="5BD49D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188608D4">
            <w:pPr>
              <w:pStyle w:val="26"/>
              <w:keepNext w:val="0"/>
              <w:keepLines w:val="0"/>
              <w:pageBreakBefore w:val="0"/>
              <w:kinsoku/>
              <w:wordWrap/>
              <w:overflowPunct/>
              <w:topLinePunct w:val="0"/>
              <w:bidi w:val="0"/>
              <w:snapToGrid/>
              <w:spacing w:line="36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小型、微型企业，监狱企业，残疾人福利性单位</w:t>
            </w:r>
          </w:p>
        </w:tc>
        <w:tc>
          <w:tcPr>
            <w:tcW w:w="1661" w:type="dxa"/>
          </w:tcPr>
          <w:p w14:paraId="173BDC4A">
            <w:pPr>
              <w:pStyle w:val="26"/>
              <w:keepNext w:val="0"/>
              <w:keepLines w:val="0"/>
              <w:pageBreakBefore w:val="0"/>
              <w:kinsoku/>
              <w:wordWrap/>
              <w:overflowPunct/>
              <w:topLinePunct w:val="0"/>
              <w:bidi w:val="0"/>
              <w:snapToGrid/>
              <w:spacing w:line="36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lang w:val="en-US" w:eastAsia="zh-CN"/>
              </w:rPr>
              <w:t>供应商</w:t>
            </w:r>
            <w:r>
              <w:rPr>
                <w:rFonts w:hint="eastAsia" w:ascii="方正仿宋_GB2312" w:hAnsi="方正仿宋_GB2312" w:eastAsia="方正仿宋_GB2312" w:cs="方正仿宋_GB2312"/>
                <w:color w:val="auto"/>
                <w:kern w:val="2"/>
                <w:sz w:val="28"/>
                <w:szCs w:val="28"/>
                <w:highlight w:val="none"/>
                <w:u w:val="none"/>
              </w:rPr>
              <w:t>为小型、微型企业</w:t>
            </w:r>
          </w:p>
        </w:tc>
        <w:tc>
          <w:tcPr>
            <w:tcW w:w="831" w:type="dxa"/>
          </w:tcPr>
          <w:p w14:paraId="513E421D">
            <w:pPr>
              <w:pStyle w:val="26"/>
              <w:keepNext w:val="0"/>
              <w:keepLines w:val="0"/>
              <w:pageBreakBefore w:val="0"/>
              <w:kinsoku/>
              <w:wordWrap/>
              <w:overflowPunct/>
              <w:topLinePunct w:val="0"/>
              <w:bidi w:val="0"/>
              <w:snapToGrid/>
              <w:spacing w:line="360" w:lineRule="exact"/>
              <w:jc w:val="righ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15.00%</w:t>
            </w:r>
          </w:p>
        </w:tc>
        <w:tc>
          <w:tcPr>
            <w:tcW w:w="4153" w:type="dxa"/>
          </w:tcPr>
          <w:p w14:paraId="528E52D8">
            <w:pPr>
              <w:pStyle w:val="26"/>
              <w:keepNext w:val="0"/>
              <w:keepLines w:val="0"/>
              <w:pageBreakBefore w:val="0"/>
              <w:kinsoku/>
              <w:wordWrap/>
              <w:overflowPunct/>
              <w:topLinePunct w:val="0"/>
              <w:bidi w:val="0"/>
              <w:snapToGrid/>
              <w:spacing w:line="36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1、对小、微企业报价给予 15%的扣除。2、监狱企业视同小型、微型企业，评审中价格扣除按照小、微企业的扣除比例执行。3、残疾人福利性单位提供本单位制造的货物、承担的工程或服务，或提供其他残疾人福利性单位制造的货物（不包括使用非残疾人福利性单位注册商标的货物），视同小型、微型企业，按小微企业的扣除比例执行。</w:t>
            </w:r>
          </w:p>
        </w:tc>
      </w:tr>
    </w:tbl>
    <w:p w14:paraId="55AAE67D">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2" w:firstLineChars="200"/>
        <w:rPr>
          <w:rFonts w:hint="eastAsia" w:ascii="方正仿宋_GB2312" w:hAnsi="方正仿宋_GB2312" w:eastAsia="方正仿宋_GB2312" w:cs="方正仿宋_GB2312"/>
          <w:kern w:val="2"/>
          <w:sz w:val="28"/>
          <w:szCs w:val="28"/>
          <w:lang w:val="en-US" w:eastAsia="zh-CN" w:bidi="ar-SA"/>
        </w:rPr>
      </w:pPr>
      <w:r>
        <w:rPr>
          <w:rStyle w:val="15"/>
          <w:rFonts w:hint="eastAsia" w:ascii="方正仿宋_GB2312" w:hAnsi="方正仿宋_GB2312" w:eastAsia="方正仿宋_GB2312" w:cs="方正仿宋_GB2312"/>
          <w:b/>
          <w:bCs w:val="0"/>
          <w:color w:val="auto"/>
          <w:sz w:val="28"/>
          <w:szCs w:val="28"/>
          <w:highlight w:val="none"/>
        </w:rPr>
        <w:t>二、</w:t>
      </w:r>
      <w:r>
        <w:rPr>
          <w:rStyle w:val="15"/>
          <w:rFonts w:hint="eastAsia" w:ascii="方正仿宋_GB2312" w:hAnsi="方正仿宋_GB2312" w:eastAsia="方正仿宋_GB2312" w:cs="方正仿宋_GB2312"/>
          <w:b/>
          <w:bCs w:val="0"/>
          <w:color w:val="auto"/>
          <w:sz w:val="28"/>
          <w:szCs w:val="28"/>
          <w:highlight w:val="none"/>
          <w:lang w:val="en-US" w:eastAsia="zh-CN"/>
        </w:rPr>
        <w:t>服务</w:t>
      </w:r>
      <w:r>
        <w:rPr>
          <w:rStyle w:val="15"/>
          <w:rFonts w:hint="eastAsia" w:ascii="方正仿宋_GB2312" w:hAnsi="方正仿宋_GB2312" w:eastAsia="方正仿宋_GB2312" w:cs="方正仿宋_GB2312"/>
          <w:b/>
          <w:bCs w:val="0"/>
          <w:color w:val="auto"/>
          <w:sz w:val="28"/>
          <w:szCs w:val="28"/>
          <w:highlight w:val="none"/>
        </w:rPr>
        <w:t>内容及</w:t>
      </w:r>
      <w:r>
        <w:rPr>
          <w:rStyle w:val="15"/>
          <w:rFonts w:hint="eastAsia" w:ascii="方正仿宋_GB2312" w:hAnsi="方正仿宋_GB2312" w:eastAsia="方正仿宋_GB2312" w:cs="方正仿宋_GB2312"/>
          <w:b/>
          <w:bCs w:val="0"/>
          <w:color w:val="auto"/>
          <w:sz w:val="28"/>
          <w:szCs w:val="28"/>
          <w:highlight w:val="none"/>
          <w:lang w:eastAsia="zh-CN"/>
        </w:rPr>
        <w:t>技术参数</w:t>
      </w:r>
      <w:r>
        <w:rPr>
          <w:rStyle w:val="15"/>
          <w:rFonts w:hint="eastAsia" w:ascii="方正仿宋_GB2312" w:hAnsi="方正仿宋_GB2312" w:eastAsia="方正仿宋_GB2312" w:cs="方正仿宋_GB2312"/>
          <w:b/>
          <w:bCs w:val="0"/>
          <w:color w:val="auto"/>
          <w:sz w:val="28"/>
          <w:szCs w:val="28"/>
          <w:highlight w:val="none"/>
        </w:rPr>
        <w:t>要求</w:t>
      </w:r>
      <w:r>
        <w:rPr>
          <w:rStyle w:val="15"/>
          <w:rFonts w:hint="eastAsia" w:ascii="方正仿宋_GB2312" w:hAnsi="方正仿宋_GB2312" w:eastAsia="方正仿宋_GB2312" w:cs="方正仿宋_GB2312"/>
          <w:b w:val="0"/>
          <w:bCs/>
          <w:color w:val="auto"/>
          <w:sz w:val="28"/>
          <w:szCs w:val="28"/>
          <w:highlight w:val="none"/>
        </w:rPr>
        <w:t>（以下内容均为实质性内容，供应商</w:t>
      </w:r>
      <w:r>
        <w:rPr>
          <w:rFonts w:hint="eastAsia" w:ascii="方正仿宋_GB2312" w:hAnsi="方正仿宋_GB2312" w:eastAsia="方正仿宋_GB2312" w:cs="方正仿宋_GB2312"/>
          <w:kern w:val="2"/>
          <w:sz w:val="28"/>
          <w:szCs w:val="28"/>
          <w:lang w:val="en-US" w:eastAsia="zh-CN" w:bidi="ar-SA"/>
        </w:rPr>
        <w:t>须完全响应，否则视为无效响应）</w:t>
      </w:r>
    </w:p>
    <w:p w14:paraId="2322FD04">
      <w:pPr>
        <w:keepNext w:val="0"/>
        <w:keepLines w:val="0"/>
        <w:pageBreakBefore w:val="0"/>
        <w:kinsoku/>
        <w:wordWrap/>
        <w:overflowPunct/>
        <w:topLinePunct w:val="0"/>
        <w:bidi w:val="0"/>
        <w:spacing w:line="360" w:lineRule="exact"/>
        <w:rPr>
          <w:rFonts w:hint="eastAsia" w:ascii="方正仿宋_GB2312" w:hAnsi="方正仿宋_GB2312" w:eastAsia="方正仿宋_GB2312" w:cs="方正仿宋_GB2312"/>
          <w:b/>
          <w:bCs/>
          <w:kern w:val="2"/>
          <w:sz w:val="28"/>
          <w:szCs w:val="28"/>
          <w:lang w:val="en-US" w:eastAsia="zh-CN" w:bidi="ar-SA"/>
        </w:rPr>
      </w:pPr>
      <w:r>
        <w:rPr>
          <w:rFonts w:hint="eastAsia" w:ascii="方正仿宋_GB2312" w:hAnsi="方正仿宋_GB2312" w:eastAsia="方正仿宋_GB2312" w:cs="方正仿宋_GB2312"/>
          <w:b/>
          <w:bCs/>
          <w:kern w:val="2"/>
          <w:sz w:val="28"/>
          <w:szCs w:val="28"/>
          <w:lang w:val="en-US" w:eastAsia="zh-CN" w:bidi="ar-SA"/>
        </w:rPr>
        <w:t>（一）技术条件</w:t>
      </w:r>
    </w:p>
    <w:p w14:paraId="5769F995">
      <w:pPr>
        <w:keepNext w:val="0"/>
        <w:keepLines w:val="0"/>
        <w:pageBreakBefore w:val="0"/>
        <w:kinsoku/>
        <w:wordWrap/>
        <w:overflowPunct/>
        <w:topLinePunct w:val="0"/>
        <w:bidi w:val="0"/>
        <w:spacing w:line="360" w:lineRule="exact"/>
        <w:ind w:left="0" w:leftChars="0" w:firstLine="616" w:firstLineChars="220"/>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1、证书中包含身份信息和公钥，用于标识证书持有人的身份；</w:t>
      </w:r>
    </w:p>
    <w:p w14:paraId="4755AFA0">
      <w:pPr>
        <w:keepNext w:val="0"/>
        <w:keepLines w:val="0"/>
        <w:pageBreakBefore w:val="0"/>
        <w:kinsoku/>
        <w:wordWrap/>
        <w:overflowPunct/>
        <w:topLinePunct w:val="0"/>
        <w:bidi w:val="0"/>
        <w:spacing w:line="360" w:lineRule="exact"/>
        <w:ind w:left="0" w:leftChars="0" w:firstLine="616" w:firstLineChars="220"/>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2、支持标识证书持有人的网络身份，支持签名应用场景；</w:t>
      </w:r>
    </w:p>
    <w:p w14:paraId="038E759C">
      <w:pPr>
        <w:keepNext w:val="0"/>
        <w:keepLines w:val="0"/>
        <w:pageBreakBefore w:val="0"/>
        <w:kinsoku/>
        <w:wordWrap/>
        <w:overflowPunct/>
        <w:topLinePunct w:val="0"/>
        <w:bidi w:val="0"/>
        <w:spacing w:line="360" w:lineRule="exact"/>
        <w:ind w:left="0" w:leftChars="0" w:firstLine="616" w:firstLineChars="220"/>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3、证书可支持动态分布，可实现同一证书同时为多个签名业务服务；</w:t>
      </w:r>
    </w:p>
    <w:p w14:paraId="7FF36BB2">
      <w:pPr>
        <w:keepNext w:val="0"/>
        <w:keepLines w:val="0"/>
        <w:pageBreakBefore w:val="0"/>
        <w:kinsoku/>
        <w:wordWrap/>
        <w:overflowPunct/>
        <w:topLinePunct w:val="0"/>
        <w:bidi w:val="0"/>
        <w:spacing w:line="360" w:lineRule="exact"/>
        <w:ind w:left="0" w:leftChars="0" w:firstLine="616" w:firstLineChars="220"/>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4、签发时间戳：对客户端发起的时间戳请求进行响应，签发有效；</w:t>
      </w:r>
    </w:p>
    <w:p w14:paraId="46999592">
      <w:pPr>
        <w:keepNext w:val="0"/>
        <w:keepLines w:val="0"/>
        <w:pageBreakBefore w:val="0"/>
        <w:kinsoku/>
        <w:wordWrap/>
        <w:overflowPunct/>
        <w:topLinePunct w:val="0"/>
        <w:bidi w:val="0"/>
        <w:spacing w:line="360" w:lineRule="exact"/>
        <w:ind w:left="0" w:leftChars="0" w:firstLine="616" w:firstLineChars="220"/>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5、验证时间戳：验证包含时间戳信息的有效性；</w:t>
      </w:r>
    </w:p>
    <w:p w14:paraId="2597B853">
      <w:pPr>
        <w:keepNext w:val="0"/>
        <w:keepLines w:val="0"/>
        <w:pageBreakBefore w:val="0"/>
        <w:kinsoku/>
        <w:wordWrap/>
        <w:overflowPunct/>
        <w:topLinePunct w:val="0"/>
        <w:bidi w:val="0"/>
        <w:spacing w:line="360" w:lineRule="exact"/>
        <w:ind w:left="0" w:leftChars="0" w:firstLine="616" w:firstLineChars="220"/>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6、对系统中的所有功能模块进行日志记录，并支持日志的查询功能；</w:t>
      </w:r>
    </w:p>
    <w:p w14:paraId="1DD6F626">
      <w:pPr>
        <w:keepNext w:val="0"/>
        <w:keepLines w:val="0"/>
        <w:pageBreakBefore w:val="0"/>
        <w:kinsoku/>
        <w:wordWrap/>
        <w:overflowPunct/>
        <w:topLinePunct w:val="0"/>
        <w:bidi w:val="0"/>
        <w:spacing w:line="360" w:lineRule="exact"/>
        <w:ind w:left="0" w:leftChars="0" w:firstLine="616" w:firstLineChars="220"/>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7、同步签名数据：医师在已下载证书并设置签章的状态下，厂商可以同步该医师的签名数据</w:t>
      </w:r>
    </w:p>
    <w:p w14:paraId="120AA51D">
      <w:pPr>
        <w:keepNext w:val="0"/>
        <w:keepLines w:val="0"/>
        <w:pageBreakBefore w:val="0"/>
        <w:kinsoku/>
        <w:wordWrap/>
        <w:overflowPunct/>
        <w:topLinePunct w:val="0"/>
        <w:bidi w:val="0"/>
        <w:spacing w:line="360" w:lineRule="exact"/>
        <w:ind w:left="0" w:leftChars="0" w:firstLine="616" w:firstLineChars="220"/>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8、查询签名结果：业务系统根据业务需要获取签名的结果，确认用户完成签名。</w:t>
      </w:r>
    </w:p>
    <w:p w14:paraId="5F763C53">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right="0" w:rightChars="0" w:firstLine="560" w:firstLineChars="200"/>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9、实现心电检查报告自助机打印功能，且报告能够显示CA电子签名。</w:t>
      </w:r>
    </w:p>
    <w:p w14:paraId="412F26E2">
      <w:pPr>
        <w:keepNext w:val="0"/>
        <w:keepLines w:val="0"/>
        <w:pageBreakBefore w:val="0"/>
        <w:kinsoku/>
        <w:wordWrap/>
        <w:overflowPunct/>
        <w:topLinePunct w:val="0"/>
        <w:bidi w:val="0"/>
        <w:spacing w:line="360" w:lineRule="exact"/>
        <w:rPr>
          <w:rFonts w:hint="eastAsia" w:ascii="方正仿宋_GB2312" w:hAnsi="方正仿宋_GB2312" w:eastAsia="方正仿宋_GB2312" w:cs="方正仿宋_GB2312"/>
          <w:b/>
          <w:bCs/>
          <w:kern w:val="2"/>
          <w:sz w:val="28"/>
          <w:szCs w:val="28"/>
          <w:lang w:val="en-US" w:eastAsia="zh-CN" w:bidi="ar-SA"/>
        </w:rPr>
      </w:pPr>
      <w:r>
        <w:rPr>
          <w:rFonts w:hint="eastAsia" w:ascii="方正仿宋_GB2312" w:hAnsi="方正仿宋_GB2312" w:eastAsia="方正仿宋_GB2312" w:cs="方正仿宋_GB2312"/>
          <w:b/>
          <w:bCs/>
          <w:kern w:val="2"/>
          <w:sz w:val="28"/>
          <w:szCs w:val="28"/>
          <w:lang w:val="en-US" w:eastAsia="zh-CN" w:bidi="ar-SA"/>
        </w:rPr>
        <w:t>（二）商务条件</w:t>
      </w:r>
    </w:p>
    <w:p w14:paraId="6E7801D7">
      <w:pPr>
        <w:keepNext w:val="0"/>
        <w:keepLines w:val="0"/>
        <w:pageBreakBefore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1、验收</w:t>
      </w:r>
    </w:p>
    <w:p w14:paraId="00D838AC">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验收由采购人、成交供应商双方相关人员组成，验收结果由双方签字认可。</w:t>
      </w:r>
    </w:p>
    <w:p w14:paraId="03CFE394">
      <w:pPr>
        <w:keepNext w:val="0"/>
        <w:keepLines w:val="0"/>
        <w:pageBreakBefore w:val="0"/>
        <w:numPr>
          <w:ilvl w:val="0"/>
          <w:numId w:val="2"/>
        </w:numPr>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履约保证金</w:t>
      </w:r>
    </w:p>
    <w:p w14:paraId="725B436A">
      <w:pPr>
        <w:pStyle w:val="2"/>
        <w:keepNext w:val="0"/>
        <w:keepLines w:val="0"/>
        <w:pageBreakBefore w:val="0"/>
        <w:numPr>
          <w:ilvl w:val="0"/>
          <w:numId w:val="0"/>
        </w:numPr>
        <w:kinsoku/>
        <w:wordWrap/>
        <w:overflowPunct/>
        <w:topLinePunct w:val="0"/>
        <w:bidi w:val="0"/>
        <w:spacing w:line="360" w:lineRule="exact"/>
        <w:ind w:firstLine="560" w:firstLineChars="200"/>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成交供应商在签订采购合同前，以支票、汇票、本票或者金融机构、担保机构出具的保函等非现金形式向采购人缴纳成交金额的5%作为履约保证金。该履约保证金待本项目免费服务期满1年后10个工作日内全额无息退还给成交供应商。</w:t>
      </w:r>
    </w:p>
    <w:p w14:paraId="1EC34E99">
      <w:pPr>
        <w:keepNext w:val="0"/>
        <w:keepLines w:val="0"/>
        <w:pageBreakBefore w:val="0"/>
        <w:numPr>
          <w:ilvl w:val="0"/>
          <w:numId w:val="3"/>
        </w:numPr>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付款方式</w:t>
      </w:r>
    </w:p>
    <w:p w14:paraId="04F23445">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项目验收合格且收到正式等额发票后10个工作日内支付合同总金额的100%。</w:t>
      </w:r>
    </w:p>
    <w:p w14:paraId="7828AE1F">
      <w:pPr>
        <w:keepNext w:val="0"/>
        <w:keepLines w:val="0"/>
        <w:pageBreakBefore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4、售后服务</w:t>
      </w:r>
    </w:p>
    <w:p w14:paraId="16154930">
      <w:pPr>
        <w:keepNext w:val="0"/>
        <w:keepLines w:val="0"/>
        <w:pageBreakBefore w:val="0"/>
        <w:kinsoku/>
        <w:wordWrap/>
        <w:overflowPunct/>
        <w:topLinePunct w:val="0"/>
        <w:autoSpaceDE/>
        <w:autoSpaceDN/>
        <w:bidi w:val="0"/>
        <w:adjustRightInd/>
        <w:snapToGrid/>
        <w:spacing w:line="360" w:lineRule="exact"/>
        <w:ind w:left="0" w:leftChars="0" w:firstLine="560" w:firstLineChars="200"/>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4.1、结合采购人实际情况，拟定详细的接口实施计划，含开发、测试、上线。承诺保证在合同规定时间内上线及上线系统的基本平稳。</w:t>
      </w:r>
    </w:p>
    <w:p w14:paraId="4640878D">
      <w:pPr>
        <w:keepNext w:val="0"/>
        <w:keepLines w:val="0"/>
        <w:pageBreakBefore w:val="0"/>
        <w:kinsoku/>
        <w:wordWrap/>
        <w:overflowPunct/>
        <w:topLinePunct w:val="0"/>
        <w:autoSpaceDE/>
        <w:autoSpaceDN/>
        <w:bidi w:val="0"/>
        <w:adjustRightInd/>
        <w:snapToGrid/>
        <w:spacing w:line="360" w:lineRule="exact"/>
        <w:ind w:left="0" w:leftChars="0" w:firstLine="560" w:firstLineChars="200"/>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4.2、培训内容为接口涉及的相关技术和操作流程。</w:t>
      </w:r>
    </w:p>
    <w:p w14:paraId="306AE9A5">
      <w:pPr>
        <w:keepNext w:val="0"/>
        <w:keepLines w:val="0"/>
        <w:pageBreakBefore w:val="0"/>
        <w:kinsoku/>
        <w:wordWrap/>
        <w:overflowPunct/>
        <w:topLinePunct w:val="0"/>
        <w:autoSpaceDE/>
        <w:autoSpaceDN/>
        <w:bidi w:val="0"/>
        <w:adjustRightInd/>
        <w:snapToGrid/>
        <w:spacing w:line="360" w:lineRule="exact"/>
        <w:ind w:left="0" w:leftChars="0" w:firstLine="560" w:firstLineChars="200"/>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4.3、本项目在验收合格后，成交供应商必须提供1年的免费维护服务（其中包括接口维护、跟踪检测），保证采购人所需接口正常运行。</w:t>
      </w:r>
    </w:p>
    <w:p w14:paraId="5EDE417F">
      <w:pPr>
        <w:keepNext w:val="0"/>
        <w:keepLines w:val="0"/>
        <w:pageBreakBefore w:val="0"/>
        <w:kinsoku/>
        <w:wordWrap/>
        <w:overflowPunct/>
        <w:topLinePunct w:val="0"/>
        <w:autoSpaceDE/>
        <w:autoSpaceDN/>
        <w:bidi w:val="0"/>
        <w:adjustRightInd/>
        <w:snapToGrid/>
        <w:spacing w:line="360" w:lineRule="exact"/>
        <w:ind w:left="0" w:leftChars="0" w:firstLine="560" w:firstLineChars="200"/>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4.4、对于接口发生故障或问题时，成交供应商故障响应时间为4小时内。服务期为7*24小时。</w:t>
      </w:r>
    </w:p>
    <w:p w14:paraId="2AF9BD5F">
      <w:pPr>
        <w:keepNext w:val="0"/>
        <w:keepLines w:val="0"/>
        <w:pageBreakBefore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5、违约责任</w:t>
      </w:r>
    </w:p>
    <w:p w14:paraId="1D3D87D8">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5.1、在签定采购合同之后，成交供应商提供的服务实际情况与响应文件响应不符，或未按合同规定的质量提供服务的，视为不合格，采购人有权拒收并解除合同，成交供应商向采购人支付合同总金额30%的违约金，由此造成的直接损失和间接损失还应由成交供应商赔偿。</w:t>
      </w:r>
    </w:p>
    <w:p w14:paraId="4B0BCBD6">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5.2、成交供应商逾期交货的（不可抗力除外），每逾期一天，偿付200元违约金；若成交供应商逾期达30天（含）以上的，采购人有权单方面解除合同并要求成交供应商支付合同总金额30%的违约金，成交供应商仍应按上述约定支付延期交货违约金。若因此给采购人造成损失的，还应赔偿采购人所受的损失。</w:t>
      </w:r>
    </w:p>
    <w:p w14:paraId="6D3DD11A">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5.3、成交供应商未能按合同约定的时间提供服务的，每逾期一天，成交供应商应向采购人支付200元违约金，若因此给采购人造成损失的，成交供应商还应赔偿采购人所受的损失。</w:t>
      </w:r>
    </w:p>
    <w:p w14:paraId="45EECE2F">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5.4、成交供应商未能按合同约定的时间提供售后质保服务的，每逾期一天，成交供应商应向采购人支付200元违约金，若因此给采购人造成损失的，成交供应商还应赔偿采购人所受的损失。且采购人有权寻找第三方提供服务，所需费用采购人有权在未付合同款中直接扣除，未付合同款不足以抵扣的，采购人有权向成交供应商追偿。</w:t>
      </w:r>
    </w:p>
    <w:p w14:paraId="3BED3DA6">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5.5、成交供应商提供的服务未达到合同约定的标准，应在采购人规定的时间内予以整改，每逾期一天，成交供应商应向采购人支付200元违约金，若因此给采购人造成损失的，成交供应商还应赔偿采购人所受的损失。未在规定时间内整改完成的，采购人有权单方面解除合同并要求成交供应商支付合同总金额30%的违约金，成交供应商仍应按上述约定支付逾期违约金。</w:t>
      </w:r>
    </w:p>
    <w:p w14:paraId="6909E622">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5.6、采购人有权在未付合同款中直接扣减成交供应商应付违约金。未付合同款不足以支付违约金的，采购人有权追索和索赔。</w:t>
      </w:r>
    </w:p>
    <w:p w14:paraId="5365D4AD">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5.7、成交供应商履行义务不符合合同规定时，若成交供应商未在接到采购人通知起七天内缴纳违约金的，采购人有权扣减合同款。合同款不足以赔偿的，采购人有权提出追索和索赔。</w:t>
      </w:r>
    </w:p>
    <w:p w14:paraId="7E5E9160">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5.8、因成交供应商原因发生重大质量事故或数据安全事故（包括但不限于数据丢失、数据泄密等），成交供应商应赔偿采购人因此产生的一切损失，采购人有权单方面解除合同并要求成交供应商支付合同总金额30%的违约金。成交供应商除依约承担修复责任及赔偿责任外，还将按有关质量管理办法规定执行。同时，采购人有权报相关行政主管部门处罚。</w:t>
      </w:r>
    </w:p>
    <w:p w14:paraId="117F6A8D">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5.9、任何一方因对方违约，向违约方主张权利所支出的律师费、诉讼费/仲裁费、保全费、差旅费等费用均有权要求违约方承担。</w:t>
      </w:r>
    </w:p>
    <w:p w14:paraId="55B538CE">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jc w:val="both"/>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6、知识产权和保密义务</w:t>
      </w:r>
    </w:p>
    <w:p w14:paraId="6DCDFC0E">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6.1、采购人有权将成交供应商所提供的一切与本项目有关的资料分发给与本项目相关的各方，并不由此而构成任何侵权，但不得向任何与本项目无关的第三方提供。</w:t>
      </w:r>
    </w:p>
    <w:p w14:paraId="6052CB2A">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6.2、项目实施期间和完成之后，本项目的资料、数据、研究成果等的所有权属于采购人，且无需经成交供应商同意，采购人可无偿、自主使用。</w:t>
      </w:r>
    </w:p>
    <w:p w14:paraId="6C9D94C1">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6.3、本项目的所有权、使用权归采购人所有。</w:t>
      </w:r>
    </w:p>
    <w:p w14:paraId="4BB089AE">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6.4、成交供应商保证，采购人在中华人民共和国境内使用由成交供应商提供的系统软件或其他任何一部分时，都是合法的，不会受到第三方提出的侵权责任的追究，不致使采购人蒙受任何费用、损害、赔偿、请求、追讨或法律行动等方面的损失，上述行为所造成的后果由成交供应商承担。</w:t>
      </w:r>
    </w:p>
    <w:p w14:paraId="515F48EF">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6.5、成交供应商承担的保密义务在本项目终止后继续有效，不受时间限制。</w:t>
      </w:r>
    </w:p>
    <w:p w14:paraId="17074D33">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rPr>
          <w:rFonts w:hint="eastAsia" w:ascii="方正仿宋_GB2312" w:hAnsi="方正仿宋_GB2312" w:eastAsia="方正仿宋_GB2312" w:cs="方正仿宋_GB2312"/>
          <w:b/>
          <w:bCs/>
          <w:kern w:val="2"/>
          <w:sz w:val="28"/>
          <w:szCs w:val="28"/>
          <w:lang w:val="en-US" w:eastAsia="zh-CN" w:bidi="ar-SA"/>
        </w:rPr>
      </w:pPr>
      <w:r>
        <w:rPr>
          <w:rFonts w:hint="eastAsia" w:ascii="方正仿宋_GB2312" w:hAnsi="方正仿宋_GB2312" w:eastAsia="方正仿宋_GB2312" w:cs="方正仿宋_GB2312"/>
          <w:b/>
          <w:bCs/>
          <w:kern w:val="2"/>
          <w:sz w:val="28"/>
          <w:szCs w:val="28"/>
          <w:lang w:val="en-US" w:eastAsia="zh-CN" w:bidi="ar-SA"/>
        </w:rPr>
        <w:t>五、供应商资格要求及审查办法</w:t>
      </w:r>
    </w:p>
    <w:p w14:paraId="3F7390A9">
      <w:pPr>
        <w:pStyle w:val="5"/>
        <w:keepNext w:val="0"/>
        <w:keepLines w:val="0"/>
        <w:pageBreakBefore w:val="0"/>
        <w:numPr>
          <w:ilvl w:val="0"/>
          <w:numId w:val="0"/>
        </w:numPr>
        <w:kinsoku/>
        <w:wordWrap/>
        <w:overflowPunct/>
        <w:topLinePunct w:val="0"/>
        <w:bidi w:val="0"/>
        <w:snapToGrid/>
        <w:spacing w:line="360" w:lineRule="exact"/>
        <w:ind w:firstLine="560" w:firstLineChars="200"/>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（一）一般资格要求：</w:t>
      </w:r>
    </w:p>
    <w:p w14:paraId="7125CDFF">
      <w:pPr>
        <w:keepNext w:val="0"/>
        <w:keepLines w:val="0"/>
        <w:pageBreakBefore w:val="0"/>
        <w:widowControl/>
        <w:kinsoku/>
        <w:wordWrap/>
        <w:overflowPunct/>
        <w:topLinePunct w:val="0"/>
        <w:autoSpaceDE/>
        <w:autoSpaceDN/>
        <w:bidi w:val="0"/>
        <w:adjustRightInd/>
        <w:snapToGrid/>
        <w:spacing w:beforeLines="0" w:afterLines="0" w:line="360" w:lineRule="exact"/>
        <w:ind w:firstLine="560" w:firstLineChars="200"/>
        <w:jc w:val="left"/>
        <w:textAlignment w:val="auto"/>
        <w:outlineLvl w:val="9"/>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1.供应商应是具备独立企业法人资格,有能力承接本项目的国内企业 (供应商应在响应文件中提供企业法人营业执照复印件,并加盖供应商单位公章)；</w:t>
      </w:r>
    </w:p>
    <w:p w14:paraId="62F0673C">
      <w:pPr>
        <w:keepNext w:val="0"/>
        <w:keepLines w:val="0"/>
        <w:pageBreakBefore w:val="0"/>
        <w:widowControl/>
        <w:kinsoku/>
        <w:wordWrap/>
        <w:overflowPunct/>
        <w:topLinePunct w:val="0"/>
        <w:autoSpaceDE/>
        <w:autoSpaceDN/>
        <w:bidi w:val="0"/>
        <w:adjustRightInd/>
        <w:snapToGrid/>
        <w:spacing w:beforeLines="0" w:afterLines="0" w:line="36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kern w:val="2"/>
          <w:sz w:val="28"/>
          <w:szCs w:val="28"/>
          <w:lang w:val="en-US" w:eastAsia="zh-CN" w:bidi="ar-SA"/>
        </w:rPr>
        <w:t>2.法定代表人授权书原件（若是单位负责人参加谈判的可无须提供本函），(供应商应按照附件“响应</w:t>
      </w:r>
      <w:r>
        <w:rPr>
          <w:rFonts w:hint="eastAsia" w:ascii="方正仿宋_GB2312" w:hAnsi="方正仿宋_GB2312" w:eastAsia="方正仿宋_GB2312" w:cs="方正仿宋_GB2312"/>
          <w:color w:val="auto"/>
          <w:spacing w:val="0"/>
          <w:sz w:val="28"/>
          <w:szCs w:val="28"/>
          <w:highlight w:val="none"/>
        </w:rPr>
        <w:t>文件格式”)；</w:t>
      </w:r>
    </w:p>
    <w:p w14:paraId="70C48CA1">
      <w:pPr>
        <w:keepNext w:val="0"/>
        <w:keepLines w:val="0"/>
        <w:pageBreakBefore w:val="0"/>
        <w:widowControl/>
        <w:kinsoku/>
        <w:wordWrap/>
        <w:overflowPunct/>
        <w:topLinePunct w:val="0"/>
        <w:autoSpaceDE/>
        <w:autoSpaceDN/>
        <w:bidi w:val="0"/>
        <w:adjustRightInd/>
        <w:snapToGrid/>
        <w:spacing w:beforeLines="0" w:afterLines="0" w:line="36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3.</w:t>
      </w:r>
      <w:r>
        <w:rPr>
          <w:rFonts w:hint="eastAsia" w:ascii="方正仿宋_GB2312" w:hAnsi="方正仿宋_GB2312" w:eastAsia="方正仿宋_GB2312" w:cs="方正仿宋_GB2312"/>
          <w:color w:val="auto"/>
          <w:spacing w:val="0"/>
          <w:sz w:val="28"/>
          <w:szCs w:val="28"/>
          <w:highlight w:val="none"/>
        </w:rPr>
        <w:t>依法缴纳税收和社会保障资金的承诺函或提供投标</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lang w:val="en-US" w:eastAsia="zh-CN"/>
        </w:rPr>
        <w:t>响应</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rPr>
        <w:t>截止时间前六个月（不含投标</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lang w:val="en-US" w:eastAsia="zh-CN"/>
        </w:rPr>
        <w:t>响应</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rPr>
        <w:t>截止时间的当月）中任一个月的依法缴纳税收</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val="en-US" w:eastAsia="zh-CN"/>
        </w:rPr>
        <w:t>完税证明或无欠税证明</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pacing w:val="0"/>
          <w:sz w:val="28"/>
          <w:szCs w:val="28"/>
          <w:highlight w:val="none"/>
        </w:rPr>
        <w:t>和社会保障资金的凭据(详见附件“响应文件格式”)；</w:t>
      </w:r>
    </w:p>
    <w:p w14:paraId="61BA61B6">
      <w:pPr>
        <w:keepNext w:val="0"/>
        <w:keepLines w:val="0"/>
        <w:pageBreakBefore w:val="0"/>
        <w:widowControl/>
        <w:kinsoku/>
        <w:wordWrap/>
        <w:overflowPunct/>
        <w:topLinePunct w:val="0"/>
        <w:autoSpaceDE/>
        <w:autoSpaceDN/>
        <w:bidi w:val="0"/>
        <w:adjustRightInd/>
        <w:snapToGrid/>
        <w:spacing w:beforeLines="0" w:afterLines="0" w:line="36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4.</w:t>
      </w:r>
      <w:r>
        <w:rPr>
          <w:rFonts w:hint="eastAsia" w:ascii="方正仿宋_GB2312" w:hAnsi="方正仿宋_GB2312" w:eastAsia="方正仿宋_GB2312" w:cs="方正仿宋_GB2312"/>
          <w:color w:val="auto"/>
          <w:spacing w:val="0"/>
          <w:sz w:val="28"/>
          <w:szCs w:val="28"/>
          <w:highlight w:val="none"/>
        </w:rPr>
        <w:t>参加本项目响应前3年内在经营活动中没有重大违法记录的书面声明函(详见附件“响应文件格式”)；</w:t>
      </w:r>
    </w:p>
    <w:p w14:paraId="4AC84A6D">
      <w:pPr>
        <w:keepNext w:val="0"/>
        <w:keepLines w:val="0"/>
        <w:pageBreakBefore w:val="0"/>
        <w:widowControl/>
        <w:kinsoku/>
        <w:wordWrap/>
        <w:overflowPunct/>
        <w:topLinePunct w:val="0"/>
        <w:autoSpaceDE/>
        <w:autoSpaceDN/>
        <w:bidi w:val="0"/>
        <w:adjustRightInd/>
        <w:snapToGrid/>
        <w:spacing w:beforeLines="0" w:afterLines="0" w:line="36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5.</w:t>
      </w:r>
      <w:r>
        <w:rPr>
          <w:rFonts w:hint="eastAsia" w:ascii="方正仿宋_GB2312" w:hAnsi="方正仿宋_GB2312" w:eastAsia="方正仿宋_GB2312" w:cs="方正仿宋_GB2312"/>
          <w:color w:val="auto"/>
          <w:spacing w:val="0"/>
          <w:sz w:val="28"/>
          <w:szCs w:val="28"/>
          <w:highlight w:val="none"/>
        </w:rPr>
        <w:t>具备履行合同所必需的设备和专业技术能力的声明函(详见附件“响应文件格式”)；</w:t>
      </w:r>
    </w:p>
    <w:p w14:paraId="6B987F6F">
      <w:pPr>
        <w:keepNext w:val="0"/>
        <w:keepLines w:val="0"/>
        <w:pageBreakBefore w:val="0"/>
        <w:widowControl/>
        <w:kinsoku/>
        <w:wordWrap/>
        <w:overflowPunct/>
        <w:topLinePunct w:val="0"/>
        <w:autoSpaceDE/>
        <w:autoSpaceDN/>
        <w:bidi w:val="0"/>
        <w:adjustRightInd/>
        <w:snapToGrid/>
        <w:spacing w:beforeLines="0" w:afterLines="0" w:line="36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6.</w:t>
      </w:r>
      <w:r>
        <w:rPr>
          <w:rFonts w:hint="eastAsia" w:ascii="方正仿宋_GB2312" w:hAnsi="方正仿宋_GB2312" w:eastAsia="方正仿宋_GB2312" w:cs="方正仿宋_GB2312"/>
          <w:color w:val="auto"/>
          <w:spacing w:val="0"/>
          <w:sz w:val="28"/>
          <w:szCs w:val="28"/>
          <w:highlight w:val="none"/>
        </w:rPr>
        <w:t>信用信息查询记录证明材料（根据财库〔2016〕125号文件规定，供应商不得被列入失信被执行人、重大税收违法案件当事人名单、政府采购严重违法失信行为记录名单）。供应商针对“信用记录查询结果”可自主提供证明材料，未提供该证明材料的不视为响应无效。信用记录的审查：由</w:t>
      </w:r>
      <w:r>
        <w:rPr>
          <w:rFonts w:hint="eastAsia" w:ascii="方正仿宋_GB2312" w:hAnsi="方正仿宋_GB2312" w:eastAsia="方正仿宋_GB2312" w:cs="方正仿宋_GB2312"/>
          <w:color w:val="auto"/>
          <w:spacing w:val="0"/>
          <w:sz w:val="28"/>
          <w:szCs w:val="28"/>
          <w:highlight w:val="none"/>
          <w:lang w:val="en-US" w:eastAsia="zh-CN"/>
        </w:rPr>
        <w:t>谈判</w:t>
      </w:r>
      <w:r>
        <w:rPr>
          <w:rFonts w:hint="eastAsia" w:ascii="方正仿宋_GB2312" w:hAnsi="方正仿宋_GB2312" w:eastAsia="方正仿宋_GB2312" w:cs="方正仿宋_GB2312"/>
          <w:color w:val="auto"/>
          <w:spacing w:val="0"/>
          <w:sz w:val="28"/>
          <w:szCs w:val="28"/>
          <w:highlight w:val="none"/>
        </w:rPr>
        <w:t>小组通过“信用中国”网站（www.creditchina.gov.cn）和中国政府采购网（www.ccgp.gov.cn）查询并打印供应商信用记录。若查询结果存在供应商应被拒绝参与政府采购活动相关信息的，其资格审查不合格）。</w:t>
      </w:r>
    </w:p>
    <w:p w14:paraId="571B0E1A">
      <w:pPr>
        <w:keepNext w:val="0"/>
        <w:keepLines w:val="0"/>
        <w:pageBreakBefore w:val="0"/>
        <w:widowControl/>
        <w:kinsoku/>
        <w:wordWrap/>
        <w:overflowPunct/>
        <w:topLinePunct w:val="0"/>
        <w:autoSpaceDE/>
        <w:autoSpaceDN/>
        <w:bidi w:val="0"/>
        <w:adjustRightInd/>
        <w:snapToGrid/>
        <w:spacing w:beforeLines="0" w:afterLines="0" w:line="360" w:lineRule="exact"/>
        <w:ind w:firstLine="560" w:firstLineChars="200"/>
        <w:jc w:val="left"/>
        <w:textAlignment w:val="auto"/>
        <w:outlineLvl w:val="9"/>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7.</w:t>
      </w:r>
      <w:r>
        <w:rPr>
          <w:rFonts w:hint="eastAsia" w:ascii="方正仿宋_GB2312" w:hAnsi="方正仿宋_GB2312" w:eastAsia="方正仿宋_GB2312" w:cs="方正仿宋_GB2312"/>
          <w:color w:val="auto"/>
          <w:spacing w:val="0"/>
          <w:sz w:val="28"/>
          <w:szCs w:val="28"/>
          <w:highlight w:val="none"/>
        </w:rPr>
        <w:t>本项目不接受联合体</w:t>
      </w:r>
      <w:r>
        <w:rPr>
          <w:rFonts w:hint="eastAsia" w:ascii="方正仿宋_GB2312" w:hAnsi="方正仿宋_GB2312" w:eastAsia="方正仿宋_GB2312" w:cs="方正仿宋_GB2312"/>
          <w:color w:val="auto"/>
          <w:spacing w:val="0"/>
          <w:sz w:val="28"/>
          <w:szCs w:val="28"/>
          <w:highlight w:val="none"/>
          <w:lang w:val="en-US" w:eastAsia="zh-CN"/>
        </w:rPr>
        <w:t>谈判</w:t>
      </w:r>
      <w:r>
        <w:rPr>
          <w:rFonts w:hint="eastAsia" w:ascii="方正仿宋_GB2312" w:hAnsi="方正仿宋_GB2312" w:eastAsia="方正仿宋_GB2312" w:cs="方正仿宋_GB2312"/>
          <w:color w:val="auto"/>
          <w:spacing w:val="0"/>
          <w:sz w:val="28"/>
          <w:szCs w:val="28"/>
          <w:highlight w:val="none"/>
        </w:rPr>
        <w:t>，不允许分包</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lang w:val="en-US" w:eastAsia="zh-CN"/>
        </w:rPr>
        <w:t>转包</w:t>
      </w:r>
      <w:r>
        <w:rPr>
          <w:rFonts w:hint="eastAsia" w:ascii="方正仿宋_GB2312" w:hAnsi="方正仿宋_GB2312" w:eastAsia="方正仿宋_GB2312" w:cs="方正仿宋_GB2312"/>
          <w:color w:val="auto"/>
          <w:sz w:val="28"/>
          <w:szCs w:val="28"/>
          <w:highlight w:val="none"/>
        </w:rPr>
        <w:t>（需提供承诺函或声明函）。</w:t>
      </w:r>
    </w:p>
    <w:p w14:paraId="5E50E322">
      <w:pPr>
        <w:keepNext w:val="0"/>
        <w:keepLines w:val="0"/>
        <w:pageBreakBefore w:val="0"/>
        <w:widowControl w:val="0"/>
        <w:kinsoku/>
        <w:wordWrap/>
        <w:overflowPunct/>
        <w:topLinePunct w:val="0"/>
        <w:autoSpaceDE/>
        <w:autoSpaceDN/>
        <w:bidi w:val="0"/>
        <w:adjustRightInd/>
        <w:snapToGrid/>
        <w:spacing w:line="360" w:lineRule="exact"/>
        <w:ind w:firstLine="840" w:firstLineChars="300"/>
        <w:jc w:val="left"/>
        <w:textAlignment w:val="auto"/>
        <w:outlineLvl w:val="9"/>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color w:val="auto"/>
          <w:sz w:val="28"/>
          <w:szCs w:val="28"/>
          <w:highlight w:val="none"/>
          <w:lang w:val="en-US" w:eastAsia="zh-CN"/>
        </w:rPr>
        <w:t>8.</w:t>
      </w:r>
      <w:r>
        <w:rPr>
          <w:rFonts w:hint="eastAsia" w:ascii="方正仿宋_GB2312" w:hAnsi="方正仿宋_GB2312" w:eastAsia="方正仿宋_GB2312" w:cs="方正仿宋_GB2312"/>
          <w:sz w:val="28"/>
          <w:szCs w:val="28"/>
        </w:rPr>
        <w:t>本项目为</w:t>
      </w:r>
      <w:r>
        <w:rPr>
          <w:rFonts w:hint="eastAsia" w:ascii="方正仿宋_GB2312" w:hAnsi="方正仿宋_GB2312" w:eastAsia="方正仿宋_GB2312" w:cs="方正仿宋_GB2312"/>
          <w:sz w:val="28"/>
          <w:szCs w:val="28"/>
          <w:lang w:val="en-US" w:eastAsia="zh-CN"/>
        </w:rPr>
        <w:t>非</w:t>
      </w:r>
      <w:r>
        <w:rPr>
          <w:rFonts w:hint="eastAsia" w:ascii="方正仿宋_GB2312" w:hAnsi="方正仿宋_GB2312" w:eastAsia="方正仿宋_GB2312" w:cs="方正仿宋_GB2312"/>
          <w:sz w:val="28"/>
          <w:szCs w:val="28"/>
        </w:rPr>
        <w:t>专门面向中小企业采购项目，供应商应按以下要求提供相关证明材料：①供应商符合《工业和信息化部、国家统计局、国家发展和改革委员会、财政部关于印发中小企业划型标准规定的通知》（工信部联企业[2011]300号）规定的中小企业划分标准，提供《中小企业声明函》（货物、工程、服务）。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供应商应按照响应文件格式规定提供。本项目为</w:t>
      </w:r>
      <w:r>
        <w:rPr>
          <w:rFonts w:hint="eastAsia" w:ascii="方正仿宋_GB2312" w:hAnsi="方正仿宋_GB2312" w:eastAsia="方正仿宋_GB2312" w:cs="方正仿宋_GB2312"/>
          <w:sz w:val="28"/>
          <w:szCs w:val="28"/>
          <w:lang w:val="en-US" w:eastAsia="zh-CN"/>
        </w:rPr>
        <w:t>服务</w:t>
      </w:r>
      <w:r>
        <w:rPr>
          <w:rFonts w:hint="eastAsia" w:ascii="方正仿宋_GB2312" w:hAnsi="方正仿宋_GB2312" w:eastAsia="方正仿宋_GB2312" w:cs="方正仿宋_GB2312"/>
          <w:sz w:val="28"/>
          <w:szCs w:val="28"/>
        </w:rPr>
        <w:t>类采购项目，本项目（采购标的）所属行业为“</w:t>
      </w:r>
      <w:r>
        <w:rPr>
          <w:rFonts w:hint="eastAsia" w:ascii="方正仿宋_GB2312" w:hAnsi="方正仿宋_GB2312" w:eastAsia="方正仿宋_GB2312" w:cs="方正仿宋_GB2312"/>
          <w:sz w:val="28"/>
          <w:szCs w:val="28"/>
          <w:lang w:val="en-US" w:eastAsia="zh-CN"/>
        </w:rPr>
        <w:t>软件和信息技术服务业</w:t>
      </w:r>
      <w:r>
        <w:rPr>
          <w:rFonts w:hint="eastAsia" w:ascii="方正仿宋_GB2312" w:hAnsi="方正仿宋_GB2312" w:eastAsia="方正仿宋_GB2312" w:cs="方正仿宋_GB2312"/>
          <w:sz w:val="28"/>
          <w:szCs w:val="28"/>
        </w:rPr>
        <w:t>”。</w:t>
      </w:r>
    </w:p>
    <w:p w14:paraId="769157F4">
      <w:pPr>
        <w:keepNext w:val="0"/>
        <w:keepLines w:val="0"/>
        <w:pageBreakBefore w:val="0"/>
        <w:widowControl/>
        <w:kinsoku/>
        <w:wordWrap/>
        <w:overflowPunct/>
        <w:topLinePunct w:val="0"/>
        <w:autoSpaceDE/>
        <w:autoSpaceDN/>
        <w:bidi w:val="0"/>
        <w:adjustRightInd/>
        <w:snapToGrid/>
        <w:spacing w:beforeLines="0" w:afterLines="0" w:line="36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lang w:eastAsia="zh-CN"/>
        </w:rPr>
      </w:pPr>
      <w:r>
        <w:rPr>
          <w:rFonts w:hint="eastAsia" w:ascii="方正仿宋_GB2312" w:hAnsi="方正仿宋_GB2312" w:eastAsia="方正仿宋_GB2312" w:cs="方正仿宋_GB2312"/>
          <w:color w:val="auto"/>
          <w:spacing w:val="0"/>
          <w:sz w:val="28"/>
          <w:szCs w:val="28"/>
          <w:highlight w:val="none"/>
          <w:lang w:val="en-US" w:eastAsia="zh-CN"/>
        </w:rPr>
        <w:t>（二）</w:t>
      </w:r>
      <w:r>
        <w:rPr>
          <w:rFonts w:hint="eastAsia" w:ascii="方正仿宋_GB2312" w:hAnsi="方正仿宋_GB2312" w:eastAsia="方正仿宋_GB2312" w:cs="方正仿宋_GB2312"/>
          <w:color w:val="auto"/>
          <w:spacing w:val="0"/>
          <w:kern w:val="2"/>
          <w:sz w:val="28"/>
          <w:szCs w:val="28"/>
          <w:highlight w:val="none"/>
          <w:lang w:val="en-US" w:eastAsia="zh-CN" w:bidi="ar-SA"/>
        </w:rPr>
        <w:t>资格承诺函</w:t>
      </w:r>
      <w:r>
        <w:rPr>
          <w:rFonts w:hint="eastAsia" w:ascii="方正仿宋_GB2312" w:hAnsi="方正仿宋_GB2312" w:eastAsia="方正仿宋_GB2312" w:cs="方正仿宋_GB2312"/>
          <w:color w:val="auto"/>
          <w:spacing w:val="0"/>
          <w:sz w:val="28"/>
          <w:szCs w:val="28"/>
          <w:highlight w:val="none"/>
          <w:lang w:eastAsia="zh-CN"/>
        </w:rPr>
        <w:t>：</w:t>
      </w:r>
    </w:p>
    <w:p w14:paraId="7CA8E8E5">
      <w:pPr>
        <w:pStyle w:val="6"/>
        <w:keepNext w:val="0"/>
        <w:keepLines w:val="0"/>
        <w:pageBreakBefore w:val="0"/>
        <w:kinsoku/>
        <w:wordWrap/>
        <w:overflowPunct/>
        <w:topLinePunct w:val="0"/>
        <w:bidi w:val="0"/>
        <w:snapToGrid/>
        <w:spacing w:line="360" w:lineRule="exact"/>
        <w:rPr>
          <w:rFonts w:hint="eastAsia" w:ascii="方正仿宋_GB2312" w:hAnsi="方正仿宋_GB2312" w:eastAsia="方正仿宋_GB2312" w:cs="方正仿宋_GB2312"/>
          <w:color w:val="auto"/>
          <w:spacing w:val="0"/>
          <w:kern w:val="2"/>
          <w:sz w:val="28"/>
          <w:szCs w:val="28"/>
          <w:highlight w:val="none"/>
          <w:lang w:val="en-US" w:eastAsia="zh-CN" w:bidi="ar-SA"/>
        </w:rPr>
      </w:pPr>
      <w:r>
        <w:rPr>
          <w:rFonts w:hint="eastAsia" w:ascii="方正仿宋_GB2312" w:hAnsi="方正仿宋_GB2312" w:eastAsia="方正仿宋_GB2312" w:cs="方正仿宋_GB2312"/>
          <w:color w:val="auto"/>
          <w:spacing w:val="0"/>
          <w:kern w:val="2"/>
          <w:sz w:val="28"/>
          <w:szCs w:val="28"/>
          <w:highlight w:val="none"/>
          <w:lang w:val="en-US" w:eastAsia="zh-CN" w:bidi="ar-SA"/>
        </w:rPr>
        <w:t xml:space="preserve">    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p w14:paraId="47BE4740">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firstLine="560" w:firstLineChars="200"/>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lang w:val="en-US" w:eastAsia="zh-CN"/>
        </w:rPr>
        <w:t>三</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b/>
          <w:bCs/>
          <w:color w:val="auto"/>
          <w:spacing w:val="0"/>
          <w:sz w:val="28"/>
          <w:szCs w:val="28"/>
          <w:highlight w:val="none"/>
          <w:lang w:val="en-US" w:eastAsia="zh-CN"/>
        </w:rPr>
        <w:t>特定资格要求：</w:t>
      </w:r>
      <w:r>
        <w:rPr>
          <w:rFonts w:hint="eastAsia" w:ascii="方正仿宋_GB2312" w:hAnsi="方正仿宋_GB2312" w:eastAsia="方正仿宋_GB2312" w:cs="方正仿宋_GB2312"/>
          <w:b/>
          <w:bCs/>
          <w:color w:val="auto"/>
          <w:spacing w:val="0"/>
          <w:sz w:val="28"/>
          <w:szCs w:val="28"/>
          <w:highlight w:val="none"/>
          <w:lang w:eastAsia="zh-CN"/>
        </w:rPr>
        <w:t>无。</w:t>
      </w:r>
    </w:p>
    <w:p w14:paraId="6EAB4134">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四</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资格审查采用方式：截标后即开始评审。</w:t>
      </w:r>
    </w:p>
    <w:p w14:paraId="5338650D">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五</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本项目为非政府采购项目，参照政府采购竞争性谈判的流程进行。供应商应对响应文件资料的真实性负责，</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在授予合同之前有权对其响应文件资料进行核实，如发现所提交的资料不真实，</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将视其为以弄虚作假方式骗取中标</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成交</w:t>
      </w:r>
      <w:r>
        <w:rPr>
          <w:rFonts w:hint="eastAsia" w:ascii="方正仿宋_GB2312" w:hAnsi="方正仿宋_GB2312" w:eastAsia="方正仿宋_GB2312" w:cs="方正仿宋_GB2312"/>
          <w:color w:val="auto"/>
          <w:sz w:val="28"/>
          <w:szCs w:val="28"/>
          <w:highlight w:val="none"/>
        </w:rPr>
        <w:t>，其成交无效，若给</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造成损失的，应依法承担赔偿责任。</w:t>
      </w:r>
    </w:p>
    <w:p w14:paraId="3580F608">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rPr>
          <w:rFonts w:hint="eastAsia" w:ascii="方正仿宋_GB2312" w:hAnsi="方正仿宋_GB2312" w:eastAsia="方正仿宋_GB2312" w:cs="方正仿宋_GB2312"/>
          <w:b/>
          <w:bCs w:val="0"/>
          <w:color w:val="auto"/>
          <w:sz w:val="28"/>
          <w:szCs w:val="28"/>
          <w:highlight w:val="none"/>
        </w:rPr>
      </w:pPr>
      <w:r>
        <w:rPr>
          <w:rStyle w:val="15"/>
          <w:rFonts w:hint="eastAsia" w:ascii="方正仿宋_GB2312" w:hAnsi="方正仿宋_GB2312" w:eastAsia="方正仿宋_GB2312" w:cs="方正仿宋_GB2312"/>
          <w:b/>
          <w:bCs w:val="0"/>
          <w:color w:val="auto"/>
          <w:sz w:val="28"/>
          <w:szCs w:val="28"/>
          <w:highlight w:val="none"/>
          <w:lang w:val="en-US" w:eastAsia="zh-CN"/>
        </w:rPr>
        <w:t>六</w:t>
      </w:r>
      <w:r>
        <w:rPr>
          <w:rStyle w:val="15"/>
          <w:rFonts w:hint="eastAsia" w:ascii="方正仿宋_GB2312" w:hAnsi="方正仿宋_GB2312" w:eastAsia="方正仿宋_GB2312" w:cs="方正仿宋_GB2312"/>
          <w:b/>
          <w:bCs w:val="0"/>
          <w:color w:val="auto"/>
          <w:sz w:val="28"/>
          <w:szCs w:val="28"/>
          <w:highlight w:val="none"/>
        </w:rPr>
        <w:t>、</w:t>
      </w:r>
      <w:r>
        <w:rPr>
          <w:rStyle w:val="15"/>
          <w:rFonts w:hint="eastAsia" w:ascii="方正仿宋_GB2312" w:hAnsi="方正仿宋_GB2312" w:eastAsia="方正仿宋_GB2312" w:cs="方正仿宋_GB2312"/>
          <w:b/>
          <w:bCs w:val="0"/>
          <w:color w:val="auto"/>
          <w:sz w:val="28"/>
          <w:szCs w:val="28"/>
          <w:highlight w:val="none"/>
          <w:lang w:eastAsia="zh-CN"/>
        </w:rPr>
        <w:t>谈判文件</w:t>
      </w:r>
      <w:r>
        <w:rPr>
          <w:rStyle w:val="15"/>
          <w:rFonts w:hint="eastAsia" w:ascii="方正仿宋_GB2312" w:hAnsi="方正仿宋_GB2312" w:eastAsia="方正仿宋_GB2312" w:cs="方正仿宋_GB2312"/>
          <w:b/>
          <w:bCs w:val="0"/>
          <w:color w:val="auto"/>
          <w:sz w:val="28"/>
          <w:szCs w:val="28"/>
          <w:highlight w:val="none"/>
        </w:rPr>
        <w:t>的获取</w:t>
      </w:r>
    </w:p>
    <w:p w14:paraId="670B9399">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1、本谈判项目不采用电子谈判</w:t>
      </w:r>
    </w:p>
    <w:p w14:paraId="1F5B00AE">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b w:val="0"/>
          <w:color w:val="auto"/>
          <w:spacing w:val="0"/>
          <w:sz w:val="28"/>
          <w:szCs w:val="28"/>
          <w:highlight w:val="none"/>
          <w:lang w:val="en-US" w:eastAsia="zh-CN"/>
        </w:rPr>
      </w:pPr>
      <w:r>
        <w:rPr>
          <w:rFonts w:hint="eastAsia" w:ascii="方正仿宋_GB2312" w:hAnsi="方正仿宋_GB2312" w:eastAsia="方正仿宋_GB2312" w:cs="方正仿宋_GB2312"/>
          <w:color w:val="auto"/>
          <w:sz w:val="28"/>
          <w:szCs w:val="28"/>
          <w:highlight w:val="none"/>
        </w:rPr>
        <w:t>2、</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lang w:eastAsia="zh-CN"/>
        </w:rPr>
        <w:t>文件</w:t>
      </w:r>
      <w:r>
        <w:rPr>
          <w:rFonts w:hint="eastAsia" w:ascii="方正仿宋_GB2312" w:hAnsi="方正仿宋_GB2312" w:eastAsia="方正仿宋_GB2312" w:cs="方正仿宋_GB2312"/>
          <w:color w:val="auto"/>
          <w:sz w:val="28"/>
          <w:szCs w:val="28"/>
          <w:highlight w:val="none"/>
        </w:rPr>
        <w:t>请自行在网站上</w:t>
      </w:r>
      <w:r>
        <w:rPr>
          <w:rFonts w:hint="eastAsia" w:ascii="方正仿宋_GB2312" w:hAnsi="方正仿宋_GB2312" w:eastAsia="方正仿宋_GB2312" w:cs="方正仿宋_GB2312"/>
          <w:color w:val="auto"/>
          <w:sz w:val="28"/>
          <w:szCs w:val="28"/>
          <w:highlight w:val="none"/>
          <w:lang w:eastAsia="zh-CN"/>
        </w:rPr>
        <w:t>查看：</w:t>
      </w:r>
      <w:r>
        <w:rPr>
          <w:rFonts w:hint="eastAsia" w:ascii="方正仿宋_GB2312" w:hAnsi="方正仿宋_GB2312" w:eastAsia="方正仿宋_GB2312" w:cs="方正仿宋_GB2312"/>
          <w:b w:val="0"/>
          <w:color w:val="auto"/>
          <w:spacing w:val="0"/>
          <w:sz w:val="28"/>
          <w:szCs w:val="28"/>
          <w:highlight w:val="none"/>
          <w:lang w:val="en-US" w:eastAsia="zh-CN"/>
        </w:rPr>
        <w:fldChar w:fldCharType="begin"/>
      </w:r>
      <w:r>
        <w:rPr>
          <w:rFonts w:hint="eastAsia" w:ascii="方正仿宋_GB2312" w:hAnsi="方正仿宋_GB2312" w:eastAsia="方正仿宋_GB2312" w:cs="方正仿宋_GB2312"/>
          <w:b w:val="0"/>
          <w:color w:val="auto"/>
          <w:spacing w:val="0"/>
          <w:sz w:val="28"/>
          <w:szCs w:val="28"/>
          <w:highlight w:val="none"/>
          <w:lang w:val="en-US" w:eastAsia="zh-CN"/>
        </w:rPr>
        <w:instrText xml:space="preserve"> HYPERLINK "http://www.fjsj.com/" </w:instrText>
      </w:r>
      <w:r>
        <w:rPr>
          <w:rFonts w:hint="eastAsia" w:ascii="方正仿宋_GB2312" w:hAnsi="方正仿宋_GB2312" w:eastAsia="方正仿宋_GB2312" w:cs="方正仿宋_GB2312"/>
          <w:b w:val="0"/>
          <w:color w:val="auto"/>
          <w:spacing w:val="0"/>
          <w:sz w:val="28"/>
          <w:szCs w:val="28"/>
          <w:highlight w:val="none"/>
          <w:lang w:val="en-US" w:eastAsia="zh-CN"/>
        </w:rPr>
        <w:fldChar w:fldCharType="separate"/>
      </w:r>
      <w:r>
        <w:rPr>
          <w:rStyle w:val="16"/>
          <w:rFonts w:hint="eastAsia" w:ascii="方正仿宋_GB2312" w:hAnsi="方正仿宋_GB2312" w:eastAsia="方正仿宋_GB2312" w:cs="方正仿宋_GB2312"/>
          <w:b w:val="0"/>
          <w:color w:val="auto"/>
          <w:spacing w:val="0"/>
          <w:sz w:val="28"/>
          <w:szCs w:val="28"/>
          <w:highlight w:val="none"/>
          <w:lang w:val="en-US" w:eastAsia="zh-CN"/>
        </w:rPr>
        <w:t>http://www.fjsj.com/</w:t>
      </w:r>
      <w:r>
        <w:rPr>
          <w:rFonts w:hint="eastAsia" w:ascii="方正仿宋_GB2312" w:hAnsi="方正仿宋_GB2312" w:eastAsia="方正仿宋_GB2312" w:cs="方正仿宋_GB2312"/>
          <w:b w:val="0"/>
          <w:color w:val="auto"/>
          <w:spacing w:val="0"/>
          <w:sz w:val="28"/>
          <w:szCs w:val="28"/>
          <w:highlight w:val="none"/>
          <w:lang w:val="en-US" w:eastAsia="zh-CN"/>
        </w:rPr>
        <w:fldChar w:fldCharType="end"/>
      </w:r>
    </w:p>
    <w:p w14:paraId="0E88153E">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3、项目联系人：</w:t>
      </w:r>
    </w:p>
    <w:p w14:paraId="2CEE669C">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eastAsia="zh-CN"/>
        </w:rPr>
        <w:t>采购单位</w:t>
      </w:r>
      <w:r>
        <w:rPr>
          <w:rFonts w:hint="eastAsia" w:ascii="方正仿宋_GB2312" w:hAnsi="方正仿宋_GB2312" w:eastAsia="方正仿宋_GB2312" w:cs="方正仿宋_GB2312"/>
          <w:color w:val="auto"/>
          <w:sz w:val="28"/>
          <w:szCs w:val="28"/>
          <w:highlight w:val="none"/>
        </w:rPr>
        <w:t>联系人：</w:t>
      </w:r>
      <w:r>
        <w:rPr>
          <w:rFonts w:hint="eastAsia" w:ascii="方正仿宋_GB2312" w:hAnsi="方正仿宋_GB2312" w:eastAsia="方正仿宋_GB2312" w:cs="方正仿宋_GB2312"/>
          <w:color w:val="auto"/>
          <w:sz w:val="28"/>
          <w:szCs w:val="28"/>
          <w:highlight w:val="none"/>
          <w:lang w:val="en-US" w:eastAsia="zh-CN"/>
        </w:rPr>
        <w:t xml:space="preserve">李工  </w:t>
      </w:r>
      <w:r>
        <w:rPr>
          <w:rFonts w:hint="eastAsia" w:ascii="方正仿宋_GB2312" w:hAnsi="方正仿宋_GB2312" w:eastAsia="方正仿宋_GB2312" w:cs="方正仿宋_GB2312"/>
          <w:color w:val="auto"/>
          <w:sz w:val="28"/>
          <w:szCs w:val="28"/>
          <w:highlight w:val="none"/>
        </w:rPr>
        <w:t>联系电话：</w:t>
      </w:r>
      <w:r>
        <w:rPr>
          <w:rFonts w:hint="eastAsia" w:ascii="方正仿宋_GB2312" w:hAnsi="方正仿宋_GB2312" w:eastAsia="方正仿宋_GB2312" w:cs="方正仿宋_GB2312"/>
          <w:color w:val="auto"/>
          <w:sz w:val="28"/>
          <w:szCs w:val="28"/>
          <w:highlight w:val="none"/>
          <w:lang w:val="en-US" w:eastAsia="zh-CN"/>
        </w:rPr>
        <w:t xml:space="preserve">0591-88013014   </w:t>
      </w:r>
    </w:p>
    <w:p w14:paraId="6F27EEB8">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rPr>
          <w:rFonts w:hint="eastAsia" w:ascii="方正仿宋_GB2312" w:hAnsi="方正仿宋_GB2312" w:eastAsia="方正仿宋_GB2312" w:cs="方正仿宋_GB2312"/>
          <w:b/>
          <w:bCs w:val="0"/>
          <w:color w:val="auto"/>
          <w:sz w:val="28"/>
          <w:szCs w:val="28"/>
          <w:highlight w:val="none"/>
        </w:rPr>
      </w:pPr>
      <w:r>
        <w:rPr>
          <w:rStyle w:val="15"/>
          <w:rFonts w:hint="eastAsia" w:ascii="方正仿宋_GB2312" w:hAnsi="方正仿宋_GB2312" w:eastAsia="方正仿宋_GB2312" w:cs="方正仿宋_GB2312"/>
          <w:b/>
          <w:bCs w:val="0"/>
          <w:color w:val="auto"/>
          <w:sz w:val="28"/>
          <w:szCs w:val="28"/>
          <w:highlight w:val="none"/>
          <w:lang w:val="en-US" w:eastAsia="zh-CN"/>
        </w:rPr>
        <w:t>七</w:t>
      </w:r>
      <w:r>
        <w:rPr>
          <w:rStyle w:val="15"/>
          <w:rFonts w:hint="eastAsia" w:ascii="方正仿宋_GB2312" w:hAnsi="方正仿宋_GB2312" w:eastAsia="方正仿宋_GB2312" w:cs="方正仿宋_GB2312"/>
          <w:b/>
          <w:bCs w:val="0"/>
          <w:color w:val="auto"/>
          <w:sz w:val="28"/>
          <w:szCs w:val="28"/>
          <w:highlight w:val="none"/>
        </w:rPr>
        <w:t>、答疑截止时间</w:t>
      </w:r>
    </w:p>
    <w:p w14:paraId="38311AD3">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供应商若要求澄清</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rPr>
        <w:t>通知书，应在获取</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rPr>
        <w:t>通知书后的1个工作日内提出，</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将随时解答。</w:t>
      </w:r>
    </w:p>
    <w:p w14:paraId="74FD57BA">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rPr>
          <w:rFonts w:hint="eastAsia" w:ascii="方正仿宋_GB2312" w:hAnsi="方正仿宋_GB2312" w:eastAsia="方正仿宋_GB2312" w:cs="方正仿宋_GB2312"/>
          <w:b/>
          <w:bCs w:val="0"/>
          <w:color w:val="auto"/>
          <w:sz w:val="28"/>
          <w:szCs w:val="28"/>
          <w:highlight w:val="none"/>
        </w:rPr>
      </w:pPr>
      <w:r>
        <w:rPr>
          <w:rStyle w:val="15"/>
          <w:rFonts w:hint="eastAsia" w:ascii="方正仿宋_GB2312" w:hAnsi="方正仿宋_GB2312" w:eastAsia="方正仿宋_GB2312" w:cs="方正仿宋_GB2312"/>
          <w:b/>
          <w:bCs w:val="0"/>
          <w:color w:val="auto"/>
          <w:sz w:val="28"/>
          <w:szCs w:val="28"/>
          <w:highlight w:val="none"/>
          <w:lang w:val="en-US" w:eastAsia="zh-CN"/>
        </w:rPr>
        <w:t>八</w:t>
      </w:r>
      <w:r>
        <w:rPr>
          <w:rStyle w:val="15"/>
          <w:rFonts w:hint="eastAsia" w:ascii="方正仿宋_GB2312" w:hAnsi="方正仿宋_GB2312" w:eastAsia="方正仿宋_GB2312" w:cs="方正仿宋_GB2312"/>
          <w:b/>
          <w:bCs w:val="0"/>
          <w:color w:val="auto"/>
          <w:sz w:val="28"/>
          <w:szCs w:val="28"/>
          <w:highlight w:val="none"/>
        </w:rPr>
        <w:t>、响应文件的要求及递交</w:t>
      </w:r>
    </w:p>
    <w:p w14:paraId="4C696D5C">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（1）响应文件要求：</w:t>
      </w:r>
    </w:p>
    <w:p w14:paraId="5210B807">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1）除谈判文件另有规定外，响应文件应使用附件响应文件模板规定的格式。</w:t>
      </w:r>
    </w:p>
    <w:p w14:paraId="217B6613">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2）除谈判文件另有规定外，响应文件的正本和全部副本均应使用不能擦去的墨料或墨水打印、书写或复印，其中：</w:t>
      </w:r>
    </w:p>
    <w:p w14:paraId="606607FF">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①正本应用A4幅面纸张打印装订，编制封面（封面标明“正本”字样）、索引、页码，并用胶装装订成册。</w:t>
      </w:r>
    </w:p>
    <w:p w14:paraId="7BD5BC89">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②副本应用A4幅面纸张打印装订，编制封面（封面标明“副本”字样）、索引、页码，并用胶装装订成册；副本可用正本的完整复印件，并与正本保持一致（若不一致，以正本为准）。</w:t>
      </w:r>
    </w:p>
    <w:p w14:paraId="7A6D4509">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（2）响应文件递交：</w:t>
      </w:r>
    </w:p>
    <w:p w14:paraId="176F8E8B">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1）响应文件正本1份、副本</w:t>
      </w: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rPr>
        <w:t>份，分别标明“正本”“副本”字样，并密封加盖供应商公章。响应文件未密封完好将导致谈判被拒绝。</w:t>
      </w:r>
    </w:p>
    <w:p w14:paraId="483C2E0D">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2）首次响应文件递交时间：供应商应在</w:t>
      </w:r>
      <w:r>
        <w:rPr>
          <w:rFonts w:hint="eastAsia" w:ascii="方正仿宋_GB2312" w:hAnsi="方正仿宋_GB2312" w:eastAsia="方正仿宋_GB2312" w:cs="方正仿宋_GB2312"/>
          <w:color w:val="auto"/>
          <w:sz w:val="28"/>
          <w:szCs w:val="28"/>
          <w:highlight w:val="none"/>
          <w:lang w:val="en-US" w:eastAsia="zh-CN"/>
        </w:rPr>
        <w:t>2025</w:t>
      </w:r>
      <w:r>
        <w:rPr>
          <w:rFonts w:hint="eastAsia" w:ascii="方正仿宋_GB2312" w:hAnsi="方正仿宋_GB2312" w:eastAsia="方正仿宋_GB2312" w:cs="方正仿宋_GB2312"/>
          <w:color w:val="auto"/>
          <w:sz w:val="28"/>
          <w:szCs w:val="28"/>
          <w:highlight w:val="none"/>
        </w:rPr>
        <w:t>年</w:t>
      </w:r>
      <w:r>
        <w:rPr>
          <w:rFonts w:hint="eastAsia" w:ascii="方正仿宋_GB2312" w:hAnsi="方正仿宋_GB2312" w:eastAsia="方正仿宋_GB2312" w:cs="方正仿宋_GB2312"/>
          <w:color w:val="auto"/>
          <w:sz w:val="28"/>
          <w:szCs w:val="28"/>
          <w:highlight w:val="none"/>
          <w:lang w:val="en-US" w:eastAsia="zh-CN"/>
        </w:rPr>
        <w:t>9</w:t>
      </w:r>
      <w:r>
        <w:rPr>
          <w:rFonts w:hint="eastAsia" w:ascii="方正仿宋_GB2312" w:hAnsi="方正仿宋_GB2312" w:eastAsia="方正仿宋_GB2312" w:cs="方正仿宋_GB2312"/>
          <w:color w:val="auto"/>
          <w:sz w:val="28"/>
          <w:szCs w:val="28"/>
          <w:highlight w:val="none"/>
        </w:rPr>
        <w:t>月</w:t>
      </w:r>
      <w:r>
        <w:rPr>
          <w:rFonts w:hint="eastAsia" w:ascii="方正仿宋_GB2312" w:hAnsi="方正仿宋_GB2312" w:eastAsia="方正仿宋_GB2312" w:cs="方正仿宋_GB2312"/>
          <w:color w:val="auto"/>
          <w:sz w:val="28"/>
          <w:szCs w:val="28"/>
          <w:highlight w:val="none"/>
          <w:lang w:val="en-US" w:eastAsia="zh-CN"/>
        </w:rPr>
        <w:t>18</w:t>
      </w:r>
      <w:r>
        <w:rPr>
          <w:rFonts w:hint="eastAsia" w:ascii="方正仿宋_GB2312" w:hAnsi="方正仿宋_GB2312" w:eastAsia="方正仿宋_GB2312" w:cs="方正仿宋_GB2312"/>
          <w:color w:val="auto"/>
          <w:sz w:val="28"/>
          <w:szCs w:val="28"/>
          <w:highlight w:val="none"/>
        </w:rPr>
        <w:t>日</w:t>
      </w:r>
      <w:r>
        <w:rPr>
          <w:rFonts w:hint="eastAsia" w:ascii="方正仿宋_GB2312" w:hAnsi="方正仿宋_GB2312" w:eastAsia="方正仿宋_GB2312" w:cs="方正仿宋_GB2312"/>
          <w:color w:val="auto"/>
          <w:sz w:val="28"/>
          <w:szCs w:val="28"/>
          <w:highlight w:val="none"/>
          <w:lang w:val="en-US" w:eastAsia="zh-CN"/>
        </w:rPr>
        <w:t>9</w:t>
      </w:r>
      <w:r>
        <w:rPr>
          <w:rFonts w:hint="eastAsia" w:ascii="方正仿宋_GB2312" w:hAnsi="方正仿宋_GB2312" w:eastAsia="方正仿宋_GB2312" w:cs="方正仿宋_GB2312"/>
          <w:color w:val="auto"/>
          <w:sz w:val="28"/>
          <w:szCs w:val="28"/>
          <w:highlight w:val="none"/>
        </w:rPr>
        <w:t>时</w:t>
      </w:r>
      <w:r>
        <w:rPr>
          <w:rFonts w:hint="eastAsia" w:ascii="方正仿宋_GB2312" w:hAnsi="方正仿宋_GB2312" w:eastAsia="方正仿宋_GB2312" w:cs="方正仿宋_GB2312"/>
          <w:color w:val="auto"/>
          <w:sz w:val="28"/>
          <w:szCs w:val="28"/>
          <w:highlight w:val="none"/>
          <w:lang w:val="en-US" w:eastAsia="zh-CN"/>
        </w:rPr>
        <w:t>00分</w:t>
      </w:r>
      <w:r>
        <w:rPr>
          <w:rFonts w:hint="eastAsia" w:ascii="方正仿宋_GB2312" w:hAnsi="方正仿宋_GB2312" w:eastAsia="方正仿宋_GB2312" w:cs="方正仿宋_GB2312"/>
          <w:color w:val="auto"/>
          <w:sz w:val="28"/>
          <w:szCs w:val="28"/>
          <w:highlight w:val="none"/>
        </w:rPr>
        <w:t>之前将密封的响应文件送达</w:t>
      </w:r>
      <w:r>
        <w:rPr>
          <w:rFonts w:hint="eastAsia" w:ascii="方正仿宋_GB2312" w:hAnsi="方正仿宋_GB2312" w:eastAsia="方正仿宋_GB2312" w:cs="方正仿宋_GB2312"/>
          <w:color w:val="auto"/>
          <w:sz w:val="28"/>
          <w:szCs w:val="28"/>
          <w:highlight w:val="none"/>
          <w:u w:val="single"/>
          <w:lang w:val="en-US" w:eastAsia="zh-CN"/>
        </w:rPr>
        <w:t>信息科办公室</w:t>
      </w:r>
      <w:r>
        <w:rPr>
          <w:rFonts w:hint="eastAsia" w:ascii="方正仿宋_GB2312" w:hAnsi="方正仿宋_GB2312" w:eastAsia="方正仿宋_GB2312" w:cs="方正仿宋_GB2312"/>
          <w:color w:val="auto"/>
          <w:sz w:val="28"/>
          <w:szCs w:val="28"/>
          <w:highlight w:val="none"/>
        </w:rPr>
        <w:t>，逾期送达的或不符合规定的响应文件将被拒绝接收。</w:t>
      </w:r>
    </w:p>
    <w:p w14:paraId="770F4533">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rPr>
          <w:rFonts w:hint="eastAsia" w:ascii="方正仿宋_GB2312" w:hAnsi="方正仿宋_GB2312" w:eastAsia="方正仿宋_GB2312" w:cs="方正仿宋_GB2312"/>
          <w:color w:val="auto"/>
          <w:sz w:val="28"/>
          <w:szCs w:val="28"/>
          <w:highlight w:val="none"/>
        </w:rPr>
      </w:pPr>
      <w:r>
        <w:rPr>
          <w:rStyle w:val="15"/>
          <w:rFonts w:hint="eastAsia" w:ascii="方正仿宋_GB2312" w:hAnsi="方正仿宋_GB2312" w:eastAsia="方正仿宋_GB2312" w:cs="方正仿宋_GB2312"/>
          <w:color w:val="auto"/>
          <w:sz w:val="28"/>
          <w:szCs w:val="28"/>
          <w:highlight w:val="none"/>
          <w:lang w:val="en-US" w:eastAsia="zh-CN"/>
        </w:rPr>
        <w:t>九</w:t>
      </w:r>
      <w:r>
        <w:rPr>
          <w:rStyle w:val="15"/>
          <w:rFonts w:hint="eastAsia" w:ascii="方正仿宋_GB2312" w:hAnsi="方正仿宋_GB2312" w:eastAsia="方正仿宋_GB2312" w:cs="方正仿宋_GB2312"/>
          <w:color w:val="auto"/>
          <w:sz w:val="28"/>
          <w:szCs w:val="28"/>
          <w:highlight w:val="none"/>
        </w:rPr>
        <w:t>、开标评标时间地点</w:t>
      </w:r>
    </w:p>
    <w:p w14:paraId="6EE0B30A">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1、响应文件递交截止时间：</w:t>
      </w:r>
      <w:r>
        <w:rPr>
          <w:rFonts w:hint="eastAsia" w:ascii="方正仿宋_GB2312" w:hAnsi="方正仿宋_GB2312" w:eastAsia="方正仿宋_GB2312" w:cs="方正仿宋_GB2312"/>
          <w:color w:val="auto"/>
          <w:sz w:val="28"/>
          <w:szCs w:val="28"/>
          <w:highlight w:val="none"/>
          <w:lang w:val="en-US" w:eastAsia="zh-CN"/>
        </w:rPr>
        <w:t>2025</w:t>
      </w:r>
      <w:r>
        <w:rPr>
          <w:rFonts w:hint="eastAsia" w:ascii="方正仿宋_GB2312" w:hAnsi="方正仿宋_GB2312" w:eastAsia="方正仿宋_GB2312" w:cs="方正仿宋_GB2312"/>
          <w:color w:val="auto"/>
          <w:sz w:val="28"/>
          <w:szCs w:val="28"/>
          <w:highlight w:val="none"/>
        </w:rPr>
        <w:t>年</w:t>
      </w:r>
      <w:r>
        <w:rPr>
          <w:rFonts w:hint="eastAsia" w:ascii="方正仿宋_GB2312" w:hAnsi="方正仿宋_GB2312" w:eastAsia="方正仿宋_GB2312" w:cs="方正仿宋_GB2312"/>
          <w:color w:val="auto"/>
          <w:sz w:val="28"/>
          <w:szCs w:val="28"/>
          <w:highlight w:val="none"/>
          <w:lang w:val="en-US" w:eastAsia="zh-CN"/>
        </w:rPr>
        <w:t>9</w:t>
      </w:r>
      <w:r>
        <w:rPr>
          <w:rFonts w:hint="eastAsia" w:ascii="方正仿宋_GB2312" w:hAnsi="方正仿宋_GB2312" w:eastAsia="方正仿宋_GB2312" w:cs="方正仿宋_GB2312"/>
          <w:color w:val="auto"/>
          <w:sz w:val="28"/>
          <w:szCs w:val="28"/>
          <w:highlight w:val="none"/>
        </w:rPr>
        <w:t>月</w:t>
      </w:r>
      <w:r>
        <w:rPr>
          <w:rFonts w:hint="eastAsia" w:ascii="方正仿宋_GB2312" w:hAnsi="方正仿宋_GB2312" w:eastAsia="方正仿宋_GB2312" w:cs="方正仿宋_GB2312"/>
          <w:color w:val="auto"/>
          <w:sz w:val="28"/>
          <w:szCs w:val="28"/>
          <w:highlight w:val="none"/>
          <w:lang w:val="en-US" w:eastAsia="zh-CN"/>
        </w:rPr>
        <w:t>18</w:t>
      </w:r>
      <w:r>
        <w:rPr>
          <w:rFonts w:hint="eastAsia" w:ascii="方正仿宋_GB2312" w:hAnsi="方正仿宋_GB2312" w:eastAsia="方正仿宋_GB2312" w:cs="方正仿宋_GB2312"/>
          <w:color w:val="auto"/>
          <w:sz w:val="28"/>
          <w:szCs w:val="28"/>
          <w:highlight w:val="none"/>
        </w:rPr>
        <w:t>日</w:t>
      </w:r>
      <w:r>
        <w:rPr>
          <w:rFonts w:hint="eastAsia" w:ascii="方正仿宋_GB2312" w:hAnsi="方正仿宋_GB2312" w:eastAsia="方正仿宋_GB2312" w:cs="方正仿宋_GB2312"/>
          <w:color w:val="auto"/>
          <w:sz w:val="28"/>
          <w:szCs w:val="28"/>
          <w:highlight w:val="none"/>
          <w:lang w:val="en-US" w:eastAsia="zh-CN"/>
        </w:rPr>
        <w:t>9</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00</w:t>
      </w:r>
      <w:r>
        <w:rPr>
          <w:rFonts w:hint="eastAsia" w:ascii="方正仿宋_GB2312" w:hAnsi="方正仿宋_GB2312" w:eastAsia="方正仿宋_GB2312" w:cs="方正仿宋_GB2312"/>
          <w:color w:val="auto"/>
          <w:sz w:val="28"/>
          <w:szCs w:val="28"/>
          <w:highlight w:val="none"/>
        </w:rPr>
        <w:t>（北京时间）</w:t>
      </w:r>
    </w:p>
    <w:p w14:paraId="3723A154">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2、谈判时间：截标后即开始评审</w:t>
      </w:r>
    </w:p>
    <w:p w14:paraId="4994F641">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rPr>
        <w:t>3、地点：</w:t>
      </w:r>
      <w:r>
        <w:rPr>
          <w:rFonts w:hint="eastAsia" w:ascii="方正仿宋_GB2312" w:hAnsi="方正仿宋_GB2312" w:eastAsia="方正仿宋_GB2312" w:cs="方正仿宋_GB2312"/>
          <w:color w:val="auto"/>
          <w:sz w:val="28"/>
          <w:szCs w:val="28"/>
          <w:highlight w:val="none"/>
          <w:lang w:eastAsia="zh-CN"/>
        </w:rPr>
        <w:t>建邦大厦会议室</w:t>
      </w:r>
      <w:r>
        <w:rPr>
          <w:rFonts w:hint="eastAsia" w:ascii="方正仿宋_GB2312" w:hAnsi="方正仿宋_GB2312" w:eastAsia="方正仿宋_GB2312" w:cs="方正仿宋_GB2312"/>
          <w:color w:val="auto"/>
          <w:sz w:val="28"/>
          <w:szCs w:val="28"/>
          <w:highlight w:val="none"/>
          <w:lang w:val="en-US" w:eastAsia="zh-CN"/>
        </w:rPr>
        <w:t xml:space="preserve">    </w:t>
      </w:r>
    </w:p>
    <w:p w14:paraId="42DCF925">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rPr>
          <w:rFonts w:hint="eastAsia" w:ascii="方正仿宋_GB2312" w:hAnsi="方正仿宋_GB2312" w:eastAsia="方正仿宋_GB2312" w:cs="方正仿宋_GB2312"/>
          <w:color w:val="auto"/>
          <w:sz w:val="28"/>
          <w:szCs w:val="28"/>
          <w:highlight w:val="none"/>
        </w:rPr>
      </w:pPr>
      <w:r>
        <w:rPr>
          <w:rStyle w:val="15"/>
          <w:rFonts w:hint="eastAsia" w:ascii="方正仿宋_GB2312" w:hAnsi="方正仿宋_GB2312" w:eastAsia="方正仿宋_GB2312" w:cs="方正仿宋_GB2312"/>
          <w:color w:val="auto"/>
          <w:sz w:val="28"/>
          <w:szCs w:val="28"/>
          <w:highlight w:val="none"/>
          <w:lang w:val="en-US" w:eastAsia="zh-CN"/>
        </w:rPr>
        <w:t>十</w:t>
      </w:r>
      <w:r>
        <w:rPr>
          <w:rStyle w:val="15"/>
          <w:rFonts w:hint="eastAsia" w:ascii="方正仿宋_GB2312" w:hAnsi="方正仿宋_GB2312" w:eastAsia="方正仿宋_GB2312" w:cs="方正仿宋_GB2312"/>
          <w:color w:val="auto"/>
          <w:sz w:val="28"/>
          <w:szCs w:val="28"/>
          <w:highlight w:val="none"/>
        </w:rPr>
        <w:t>、定标原则及办法</w:t>
      </w:r>
    </w:p>
    <w:p w14:paraId="4120E4E3">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1、评标活动遵循公平、公正、科学和择优的原则。</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rPr>
        <w:t>小组将按照规定对各供应商的响应文件采用相同的程序和标准进行评价和比较，对通过资格及符合性检查的合格供应商进行</w:t>
      </w:r>
      <w:r>
        <w:rPr>
          <w:rFonts w:hint="eastAsia" w:ascii="方正仿宋_GB2312" w:hAnsi="方正仿宋_GB2312" w:eastAsia="方正仿宋_GB2312" w:cs="方正仿宋_GB2312"/>
          <w:color w:val="auto"/>
          <w:sz w:val="28"/>
          <w:szCs w:val="28"/>
          <w:highlight w:val="none"/>
          <w:lang w:val="en-US" w:eastAsia="zh-CN"/>
        </w:rPr>
        <w:t>综合</w:t>
      </w:r>
      <w:r>
        <w:rPr>
          <w:rFonts w:hint="eastAsia" w:ascii="方正仿宋_GB2312" w:hAnsi="方正仿宋_GB2312" w:eastAsia="方正仿宋_GB2312" w:cs="方正仿宋_GB2312"/>
          <w:color w:val="auto"/>
          <w:sz w:val="28"/>
          <w:szCs w:val="28"/>
          <w:highlight w:val="none"/>
        </w:rPr>
        <w:t>评估，评议过程严格按照</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rPr>
        <w:t>文件的要求和条件进行。本项目采用最低评标价法。。</w:t>
      </w:r>
    </w:p>
    <w:p w14:paraId="5EF279C4">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2、谈判小组将根据本谈判文件各项要求综合评估，推荐出符合采购要求、符合项目质量和服务要求且报价由</w:t>
      </w:r>
      <w:r>
        <w:rPr>
          <w:rFonts w:hint="eastAsia" w:ascii="方正仿宋_GB2312" w:hAnsi="方正仿宋_GB2312" w:eastAsia="方正仿宋_GB2312" w:cs="方正仿宋_GB2312"/>
          <w:color w:val="auto"/>
          <w:sz w:val="28"/>
          <w:szCs w:val="28"/>
          <w:highlight w:val="none"/>
          <w:lang w:val="en-US" w:eastAsia="zh-CN"/>
        </w:rPr>
        <w:t>低</w:t>
      </w:r>
      <w:r>
        <w:rPr>
          <w:rFonts w:hint="eastAsia" w:ascii="方正仿宋_GB2312" w:hAnsi="方正仿宋_GB2312" w:eastAsia="方正仿宋_GB2312" w:cs="方正仿宋_GB2312"/>
          <w:color w:val="auto"/>
          <w:sz w:val="28"/>
          <w:szCs w:val="28"/>
          <w:highlight w:val="none"/>
        </w:rPr>
        <w:t>到</w:t>
      </w:r>
      <w:r>
        <w:rPr>
          <w:rFonts w:hint="eastAsia" w:ascii="方正仿宋_GB2312" w:hAnsi="方正仿宋_GB2312" w:eastAsia="方正仿宋_GB2312" w:cs="方正仿宋_GB2312"/>
          <w:color w:val="auto"/>
          <w:sz w:val="28"/>
          <w:szCs w:val="28"/>
          <w:highlight w:val="none"/>
          <w:lang w:val="en-US" w:eastAsia="zh-CN"/>
        </w:rPr>
        <w:t>高</w:t>
      </w:r>
      <w:r>
        <w:rPr>
          <w:rFonts w:hint="eastAsia" w:ascii="方正仿宋_GB2312" w:hAnsi="方正仿宋_GB2312" w:eastAsia="方正仿宋_GB2312" w:cs="方正仿宋_GB2312"/>
          <w:color w:val="auto"/>
          <w:sz w:val="28"/>
          <w:szCs w:val="28"/>
          <w:highlight w:val="none"/>
        </w:rPr>
        <w:t>前三名为本合同包成交候选人（若属于《政府采购非招标采购方式管理办法》</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eastAsia="zh-CN"/>
        </w:rPr>
        <w:t>福建省财政厅关于政府采购执行过程中有关规定的通知</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eastAsia="zh-CN"/>
        </w:rPr>
        <w:t>（闽财购〔2016〕67号）</w:t>
      </w:r>
      <w:r>
        <w:rPr>
          <w:rFonts w:hint="eastAsia" w:ascii="方正仿宋_GB2312" w:hAnsi="方正仿宋_GB2312" w:eastAsia="方正仿宋_GB2312" w:cs="方正仿宋_GB2312"/>
          <w:color w:val="auto"/>
          <w:sz w:val="28"/>
          <w:szCs w:val="28"/>
          <w:highlight w:val="none"/>
        </w:rPr>
        <w:t>等相关法律法规及财政部门颁布的规范性文件允许的两家供应商进行竞争性谈判采购情形，本次采购项目仍可以继续进行，推荐前两名为本合同包的成交候选人），确定出符合采购要求、符合项目质量和服务要求且报价最</w:t>
      </w:r>
      <w:r>
        <w:rPr>
          <w:rFonts w:hint="eastAsia" w:ascii="方正仿宋_GB2312" w:hAnsi="方正仿宋_GB2312" w:eastAsia="方正仿宋_GB2312" w:cs="方正仿宋_GB2312"/>
          <w:color w:val="auto"/>
          <w:sz w:val="28"/>
          <w:szCs w:val="28"/>
          <w:highlight w:val="none"/>
          <w:lang w:eastAsia="zh-CN"/>
        </w:rPr>
        <w:t>低</w:t>
      </w:r>
      <w:r>
        <w:rPr>
          <w:rFonts w:hint="eastAsia" w:ascii="方正仿宋_GB2312" w:hAnsi="方正仿宋_GB2312" w:eastAsia="方正仿宋_GB2312" w:cs="方正仿宋_GB2312"/>
          <w:color w:val="auto"/>
          <w:sz w:val="28"/>
          <w:szCs w:val="28"/>
          <w:highlight w:val="none"/>
        </w:rPr>
        <w:t>者为本项目成交人（若出现报价相同的情况，则由谈判小组按随机抽取方式确定最终成交候选人）。</w:t>
      </w:r>
    </w:p>
    <w:p w14:paraId="6D6DBD4F">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3、响应文件无效条款（不满足即为无效响应的实质性条款）及废标条款：具体内容详见竞争性谈判文件各章节，请各供应商认真查看对照。</w:t>
      </w:r>
    </w:p>
    <w:p w14:paraId="49F49A8E">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3.1、供应商若出现下列情形之一的，响应文件也将被视为未实质性响应谈判文件要求，按照无效报价处理：</w:t>
      </w:r>
    </w:p>
    <w:p w14:paraId="62AA8E72">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(1)未符合谈判文件规定资格标准“供应商资格要求及审查办法”的按照无效响应处理；</w:t>
      </w:r>
    </w:p>
    <w:p w14:paraId="3016B6C2">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(2)未符合《服务（货物）一览表》及“采购内容及要求”中的技术要求的按照无效响应处理；</w:t>
      </w:r>
    </w:p>
    <w:p w14:paraId="6684366A">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(3)响应文件未按照谈判文件要求的规定进行密封、标记的；</w:t>
      </w:r>
    </w:p>
    <w:p w14:paraId="57482986">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rPr>
        <w:t>(4)未按规定由供应商的法定代表人或其授权代表签字，或未加盖供应商公章的；或签字人未经法定代表人有效授权委托的；</w:t>
      </w:r>
    </w:p>
    <w:p w14:paraId="72CF89E9">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(5)一个供应商不止投一个标；</w:t>
      </w:r>
    </w:p>
    <w:p w14:paraId="6ADC0ED2">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(6)供应商提交的是可选择的报价；</w:t>
      </w:r>
    </w:p>
    <w:p w14:paraId="57A1A239">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(7)响应文件组成不符合谈判文件要求的；</w:t>
      </w:r>
    </w:p>
    <w:p w14:paraId="4B4EB5D5">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(8)响应文件中提供虚假或失实资料的；</w:t>
      </w:r>
    </w:p>
    <w:p w14:paraId="0BAC22D3">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(9)未按规定签字、提交封面盖公章，并加盖骑缝章且每页盖公章(非报价专用章或业务章)的；</w:t>
      </w:r>
    </w:p>
    <w:p w14:paraId="2E91582B">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(10)供应商名称或组织结构与资格性审查时不一致且未提供有效证明的；</w:t>
      </w:r>
    </w:p>
    <w:p w14:paraId="2E6A9D8E">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(11)响应文件附有采购人不能接受的条件；</w:t>
      </w:r>
    </w:p>
    <w:p w14:paraId="4DFD8E17">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(12)不符合谈判文件中规定的实质性要求和条件、实质性条款、无效报价条款的。</w:t>
      </w:r>
    </w:p>
    <w:p w14:paraId="0276D508">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3.2、出现下列情形之一的，按废标处理：</w:t>
      </w:r>
    </w:p>
    <w:p w14:paraId="5F0B5A39">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①符合专业条件的供应商或者对谈判文件作实质响应的供应商不足</w:t>
      </w:r>
      <w:r>
        <w:rPr>
          <w:rFonts w:hint="eastAsia" w:ascii="方正仿宋_GB2312" w:hAnsi="方正仿宋_GB2312" w:eastAsia="方正仿宋_GB2312" w:cs="方正仿宋_GB2312"/>
          <w:color w:val="auto"/>
          <w:sz w:val="28"/>
          <w:szCs w:val="28"/>
          <w:highlight w:val="none"/>
          <w:lang w:eastAsia="zh-CN"/>
        </w:rPr>
        <w:t>三</w:t>
      </w:r>
      <w:r>
        <w:rPr>
          <w:rFonts w:hint="eastAsia" w:ascii="方正仿宋_GB2312" w:hAnsi="方正仿宋_GB2312" w:eastAsia="方正仿宋_GB2312" w:cs="方正仿宋_GB2312"/>
          <w:color w:val="auto"/>
          <w:sz w:val="28"/>
          <w:szCs w:val="28"/>
          <w:highlight w:val="none"/>
        </w:rPr>
        <w:t>家的；</w:t>
      </w:r>
    </w:p>
    <w:p w14:paraId="58FD15B7">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②出现影响采购公正的违法、违规行为的；</w:t>
      </w:r>
    </w:p>
    <w:p w14:paraId="258BF88F">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③供应商的报价</w:t>
      </w:r>
      <w:r>
        <w:rPr>
          <w:rFonts w:hint="eastAsia" w:ascii="方正仿宋_GB2312" w:hAnsi="方正仿宋_GB2312" w:eastAsia="方正仿宋_GB2312" w:cs="方正仿宋_GB2312"/>
          <w:color w:val="auto"/>
          <w:sz w:val="28"/>
          <w:szCs w:val="28"/>
          <w:highlight w:val="none"/>
          <w:lang w:eastAsia="zh-CN"/>
        </w:rPr>
        <w:t>高</w:t>
      </w:r>
      <w:r>
        <w:rPr>
          <w:rFonts w:hint="eastAsia" w:ascii="方正仿宋_GB2312" w:hAnsi="方正仿宋_GB2312" w:eastAsia="方正仿宋_GB2312" w:cs="方正仿宋_GB2312"/>
          <w:color w:val="auto"/>
          <w:sz w:val="28"/>
          <w:szCs w:val="28"/>
          <w:highlight w:val="none"/>
        </w:rPr>
        <w:t>于最</w:t>
      </w:r>
      <w:r>
        <w:rPr>
          <w:rFonts w:hint="eastAsia" w:ascii="方正仿宋_GB2312" w:hAnsi="方正仿宋_GB2312" w:eastAsia="方正仿宋_GB2312" w:cs="方正仿宋_GB2312"/>
          <w:color w:val="auto"/>
          <w:sz w:val="28"/>
          <w:szCs w:val="28"/>
          <w:highlight w:val="none"/>
          <w:lang w:eastAsia="zh-CN"/>
        </w:rPr>
        <w:t>高</w:t>
      </w:r>
      <w:r>
        <w:rPr>
          <w:rFonts w:hint="eastAsia" w:ascii="方正仿宋_GB2312" w:hAnsi="方正仿宋_GB2312" w:eastAsia="方正仿宋_GB2312" w:cs="方正仿宋_GB2312"/>
          <w:color w:val="auto"/>
          <w:sz w:val="28"/>
          <w:szCs w:val="28"/>
          <w:highlight w:val="none"/>
        </w:rPr>
        <w:t>限价的；</w:t>
      </w:r>
    </w:p>
    <w:p w14:paraId="62D27CEA">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④因重大变故，采购任务取消的。</w:t>
      </w:r>
    </w:p>
    <w:p w14:paraId="024B23AF">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4、供应商之间有相互串通投标、弄虚作假等违规行为者，将作废标处理，并在我院未来的项目</w:t>
      </w:r>
      <w:r>
        <w:rPr>
          <w:rFonts w:hint="eastAsia" w:ascii="方正仿宋_GB2312" w:hAnsi="方正仿宋_GB2312" w:eastAsia="方正仿宋_GB2312" w:cs="方正仿宋_GB2312"/>
          <w:color w:val="auto"/>
          <w:sz w:val="28"/>
          <w:szCs w:val="28"/>
          <w:highlight w:val="none"/>
          <w:lang w:eastAsia="zh-CN"/>
        </w:rPr>
        <w:t>采购</w:t>
      </w:r>
      <w:r>
        <w:rPr>
          <w:rFonts w:hint="eastAsia" w:ascii="方正仿宋_GB2312" w:hAnsi="方正仿宋_GB2312" w:eastAsia="方正仿宋_GB2312" w:cs="方正仿宋_GB2312"/>
          <w:color w:val="auto"/>
          <w:sz w:val="28"/>
          <w:szCs w:val="28"/>
          <w:highlight w:val="none"/>
        </w:rPr>
        <w:t>中被拒绝接受投标。</w:t>
      </w:r>
    </w:p>
    <w:p w14:paraId="5471AED3">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rPr>
          <w:rFonts w:hint="eastAsia" w:ascii="方正仿宋_GB2312" w:hAnsi="方正仿宋_GB2312" w:eastAsia="方正仿宋_GB2312" w:cs="方正仿宋_GB2312"/>
          <w:color w:val="auto"/>
          <w:sz w:val="28"/>
          <w:szCs w:val="28"/>
          <w:highlight w:val="none"/>
        </w:rPr>
      </w:pPr>
      <w:r>
        <w:rPr>
          <w:rStyle w:val="15"/>
          <w:rFonts w:hint="eastAsia" w:ascii="方正仿宋_GB2312" w:hAnsi="方正仿宋_GB2312" w:eastAsia="方正仿宋_GB2312" w:cs="方正仿宋_GB2312"/>
          <w:color w:val="auto"/>
          <w:sz w:val="28"/>
          <w:szCs w:val="28"/>
          <w:highlight w:val="none"/>
          <w:lang w:eastAsia="zh-CN"/>
        </w:rPr>
        <w:t>十</w:t>
      </w:r>
      <w:r>
        <w:rPr>
          <w:rStyle w:val="15"/>
          <w:rFonts w:hint="eastAsia" w:ascii="方正仿宋_GB2312" w:hAnsi="方正仿宋_GB2312" w:eastAsia="方正仿宋_GB2312" w:cs="方正仿宋_GB2312"/>
          <w:color w:val="auto"/>
          <w:sz w:val="28"/>
          <w:szCs w:val="28"/>
          <w:highlight w:val="none"/>
          <w:lang w:val="en-US" w:eastAsia="zh-CN"/>
        </w:rPr>
        <w:t>一</w:t>
      </w:r>
      <w:r>
        <w:rPr>
          <w:rStyle w:val="15"/>
          <w:rFonts w:hint="eastAsia" w:ascii="方正仿宋_GB2312" w:hAnsi="方正仿宋_GB2312" w:eastAsia="方正仿宋_GB2312" w:cs="方正仿宋_GB2312"/>
          <w:color w:val="auto"/>
          <w:sz w:val="28"/>
          <w:szCs w:val="28"/>
          <w:highlight w:val="none"/>
        </w:rPr>
        <w:t>、合同条款内容及签订</w:t>
      </w:r>
    </w:p>
    <w:p w14:paraId="39781CCE">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1、合同签订：成交人在接到成交通知后3天内，应派代表与</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联系，商讨签订合同事宜。</w:t>
      </w:r>
    </w:p>
    <w:p w14:paraId="081105E5">
      <w:pPr>
        <w:pStyle w:val="10"/>
        <w:keepNext w:val="0"/>
        <w:keepLines w:val="0"/>
        <w:pageBreakBefore w:val="0"/>
        <w:widowControl/>
        <w:suppressLineNumbers w:val="0"/>
        <w:kinsoku/>
        <w:wordWrap/>
        <w:overflowPunct/>
        <w:topLinePunct w:val="0"/>
        <w:bidi w:val="0"/>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rPr>
        <w:t>、合同签订地点：</w:t>
      </w:r>
      <w:r>
        <w:rPr>
          <w:rFonts w:hint="eastAsia" w:ascii="方正仿宋_GB2312" w:hAnsi="方正仿宋_GB2312" w:eastAsia="方正仿宋_GB2312" w:cs="方正仿宋_GB2312"/>
          <w:color w:val="auto"/>
          <w:sz w:val="28"/>
          <w:szCs w:val="28"/>
          <w:highlight w:val="none"/>
          <w:lang w:eastAsia="zh-CN"/>
        </w:rPr>
        <w:t>福州</w:t>
      </w:r>
    </w:p>
    <w:sectPr>
      <w:footerReference r:id="rId3" w:type="default"/>
      <w:pgSz w:w="11906" w:h="16838"/>
      <w:pgMar w:top="1814" w:right="1587" w:bottom="1701" w:left="1587" w:header="851" w:footer="992" w:gutter="0"/>
      <w:lnNumType w:countBy="0"/>
      <w:pgNumType w:start="1"/>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2020E42-36E1-4FE1-AC75-0C56DFDFBD19}"/>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embedRegular r:id="rId2" w:fontKey="{95E00551-B929-44B0-9015-E26A46BB8E12}"/>
  </w:font>
  <w:font w:name="Arial Unicode MS">
    <w:altName w:val="Arial"/>
    <w:panose1 w:val="020B0604020202020204"/>
    <w:charset w:val="00"/>
    <w:family w:val="swiss"/>
    <w:pitch w:val="default"/>
    <w:sig w:usb0="00000000" w:usb1="00000000" w:usb2="0000003F" w:usb3="00000000" w:csb0="003F01FF" w:csb1="00000000"/>
  </w:font>
  <w:font w:name="方正小标宋简体">
    <w:panose1 w:val="02010600010101010101"/>
    <w:charset w:val="86"/>
    <w:family w:val="auto"/>
    <w:pitch w:val="default"/>
    <w:sig w:usb0="00000001" w:usb1="080E0000" w:usb2="00000000" w:usb3="00000000" w:csb0="00040000" w:csb1="00000000"/>
    <w:embedRegular r:id="rId3" w:fontKey="{B54E5E3B-83A9-43F4-89A5-5F6F8F033604}"/>
  </w:font>
  <w:font w:name="方正仿宋_GB2312">
    <w:panose1 w:val="02000000000000000000"/>
    <w:charset w:val="86"/>
    <w:family w:val="auto"/>
    <w:pitch w:val="default"/>
    <w:sig w:usb0="A00002BF" w:usb1="184F6CFA" w:usb2="00000012" w:usb3="00000000" w:csb0="00040001" w:csb1="00000000"/>
    <w:embedRegular r:id="rId4" w:fontKey="{1865F3DC-AF29-4364-B9DE-42DB426CAA53}"/>
  </w:font>
  <w:font w:name="仿宋">
    <w:panose1 w:val="02010609060101010101"/>
    <w:charset w:val="86"/>
    <w:family w:val="modern"/>
    <w:pitch w:val="default"/>
    <w:sig w:usb0="800002BF" w:usb1="38CF7CFA" w:usb2="00000016" w:usb3="00000000" w:csb0="00040001" w:csb1="00000000"/>
    <w:embedRegular r:id="rId5" w:fontKey="{6F7F72A8-76ED-49D7-9B99-A69DD5FE99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26F82">
    <w:pPr>
      <w:pStyle w:val="9"/>
      <w:widowControl/>
      <w:snapToGrid w:val="0"/>
      <w:jc w:val="left"/>
      <w:textAlignment w:val="baseline"/>
      <w:rPr>
        <w:rStyle w:val="18"/>
        <w:rFonts w:ascii="Calibri" w:hAnsi="Calibri" w:eastAsia="宋体"/>
        <w:kern w:val="2"/>
        <w:sz w:val="18"/>
        <w:szCs w:val="24"/>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3F44B1">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23F44B1">
                    <w:pPr>
                      <w:pStyle w:val="9"/>
                    </w:pPr>
                    <w:r>
                      <w:fldChar w:fldCharType="begin"/>
                    </w:r>
                    <w:r>
                      <w:instrText xml:space="preserve"> PAGE  \* MERGEFORMAT </w:instrText>
                    </w:r>
                    <w:r>
                      <w:fldChar w:fldCharType="separate"/>
                    </w:r>
                    <w:r>
                      <w:t>1</w:t>
                    </w:r>
                    <w:r>
                      <w:fldChar w:fldCharType="end"/>
                    </w:r>
                  </w:p>
                </w:txbxContent>
              </v:textbox>
            </v:shape>
          </w:pict>
        </mc:Fallback>
      </mc:AlternateContent>
    </w:r>
    <w:r>
      <w:rPr>
        <w:rStyle w:val="18"/>
        <w:rFonts w:ascii="Calibri" w:hAnsi="Calibri" w:eastAsia="宋体"/>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9CBAA31">
                          <w:pPr>
                            <w:pStyle w:val="9"/>
                            <w:widowControl/>
                            <w:snapToGrid w:val="0"/>
                            <w:jc w:val="left"/>
                            <w:textAlignment w:val="baseline"/>
                            <w:rPr>
                              <w:rStyle w:val="18"/>
                              <w:rFonts w:ascii="仿宋_GB2312" w:hAnsi="仿宋_GB2312" w:eastAsia="仿宋_GB2312"/>
                              <w:kern w:val="2"/>
                              <w:sz w:val="32"/>
                              <w:szCs w:val="32"/>
                              <w:lang w:val="en-US" w:eastAsia="zh-CN" w:bidi="ar-SA"/>
                            </w:rPr>
                          </w:pPr>
                        </w:p>
                        <w:p w14:paraId="16116A61">
                          <w:pPr>
                            <w:autoSpaceDE/>
                            <w:autoSpaceDN/>
                            <w:spacing w:before="0" w:after="0" w:line="570" w:lineRule="exact"/>
                            <w:textAlignment w:val="baseline"/>
                            <w:rPr>
                              <w:rStyle w:val="18"/>
                            </w:rPr>
                          </w:pPr>
                        </w:p>
                      </w:txbxContent>
                    </wps:txbx>
                    <wps:bodyPr lIns="0" tIns="0" rIns="0" bIns="0" upright="1"/>
                  </wps:wsp>
                </a:graphicData>
              </a:graphic>
            </wp:anchor>
          </w:drawing>
        </mc:Choice>
        <mc:Fallback>
          <w:pict>
            <v:shape id="文本框 1025"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PtL/TrgBAAB2AwAADgAAAGRycy9lMm9Eb2MueG1srVPBjtsgEL1X&#10;6j8g7g1OpFaRFWelVbRVpaqttO0HEAwxEjAISOz8QPsHPfXSe78r39EB29nt9rKHveBhZnjz3gNv&#10;bgZryEmGqME1dLmoKJFOQKvdoaHfvt69WVMSE3ctN+BkQ88y0pvt61eb3tdyBR2YVgaCIC7WvW9o&#10;l5KvGYuik5bHBXjpsKggWJ5wGw6sDbxHdGvYqqresR5C6wMIGSNmd2ORTojhOYCglBZyB+JopUsj&#10;apCGJ5QUO+0j3Ra2SkmRPisVZSKmoag0lRWHYLzPK9tueH0I3HdaTBT4cyg80WS5djj0CrXjiZNj&#10;0P9BWS0CRFBpIcCyUUhxBFUsqyfe3Hfcy6IFrY7+anp8OVjx6fQlEN3iS6DEcYsXfvn54/Lrz+X3&#10;d7KsVm+zQ72PNTbee2xNwy0MuXvKR0xm4YMKNn9REsE6+nu++iuHREQ+tF6t1xWWBNbmDeKwh+M+&#10;xPRegiU5aGjACyy+8tPHmMbWuSVPc3CnjcE8r437J4GYOcMy95FjjtKwHybie2jPqMd8cGhnfhpz&#10;EOZgPwdHH/ShQzpFdYHE6yi8p6eT7/vxvgx++F22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Z&#10;pPZA0gAAAAUBAAAPAAAAAAAAAAEAIAAAACIAAABkcnMvZG93bnJldi54bWxQSwECFAAUAAAACACH&#10;TuJAPtL/TrgBAAB2AwAADgAAAAAAAAABACAAAAAhAQAAZHJzL2Uyb0RvYy54bWxQSwUGAAAAAAYA&#10;BgBZAQAASwUAAAAA&#10;">
              <v:fill on="f" focussize="0,0"/>
              <v:stroke on="f"/>
              <v:imagedata o:title=""/>
              <o:lock v:ext="edit" aspectratio="f"/>
              <v:textbox inset="0mm,0mm,0mm,0mm">
                <w:txbxContent>
                  <w:p w14:paraId="09CBAA31">
                    <w:pPr>
                      <w:pStyle w:val="9"/>
                      <w:widowControl/>
                      <w:snapToGrid w:val="0"/>
                      <w:jc w:val="left"/>
                      <w:textAlignment w:val="baseline"/>
                      <w:rPr>
                        <w:rStyle w:val="18"/>
                        <w:rFonts w:ascii="仿宋_GB2312" w:hAnsi="仿宋_GB2312" w:eastAsia="仿宋_GB2312"/>
                        <w:kern w:val="2"/>
                        <w:sz w:val="32"/>
                        <w:szCs w:val="32"/>
                        <w:lang w:val="en-US" w:eastAsia="zh-CN" w:bidi="ar-SA"/>
                      </w:rPr>
                    </w:pPr>
                  </w:p>
                  <w:p w14:paraId="16116A61">
                    <w:pPr>
                      <w:autoSpaceDE/>
                      <w:autoSpaceDN/>
                      <w:spacing w:before="0" w:after="0" w:line="570" w:lineRule="exact"/>
                      <w:textAlignment w:val="baseline"/>
                      <w:rPr>
                        <w:rStyle w:val="18"/>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A02387"/>
    <w:multiLevelType w:val="singleLevel"/>
    <w:tmpl w:val="8CA02387"/>
    <w:lvl w:ilvl="0" w:tentative="0">
      <w:start w:val="3"/>
      <w:numFmt w:val="decimal"/>
      <w:suff w:val="nothing"/>
      <w:lvlText w:val="%1、"/>
      <w:lvlJc w:val="left"/>
    </w:lvl>
  </w:abstractNum>
  <w:abstractNum w:abstractNumId="1">
    <w:nsid w:val="0B881538"/>
    <w:multiLevelType w:val="singleLevel"/>
    <w:tmpl w:val="0B881538"/>
    <w:lvl w:ilvl="0" w:tentative="0">
      <w:start w:val="2"/>
      <w:numFmt w:val="decimal"/>
      <w:suff w:val="nothing"/>
      <w:lvlText w:val="%1、"/>
      <w:lvlJc w:val="left"/>
    </w:lvl>
  </w:abstractNum>
  <w:abstractNum w:abstractNumId="2">
    <w:nsid w:val="2DB22549"/>
    <w:multiLevelType w:val="singleLevel"/>
    <w:tmpl w:val="2DB22549"/>
    <w:lvl w:ilvl="0" w:tentative="0">
      <w:start w:val="2"/>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iYTc5ZmIyZmU2YzUwNjUzYjY4M2M2MmFlNzcyODIifQ=="/>
  </w:docVars>
  <w:rsids>
    <w:rsidRoot w:val="6A1967F4"/>
    <w:rsid w:val="04652B27"/>
    <w:rsid w:val="049B2F06"/>
    <w:rsid w:val="06EC6EEE"/>
    <w:rsid w:val="076B5857"/>
    <w:rsid w:val="07907EFE"/>
    <w:rsid w:val="07A80859"/>
    <w:rsid w:val="08B71858"/>
    <w:rsid w:val="098E52A0"/>
    <w:rsid w:val="0A6A0048"/>
    <w:rsid w:val="0C1C223F"/>
    <w:rsid w:val="0E2C4469"/>
    <w:rsid w:val="0E903DF5"/>
    <w:rsid w:val="10B64F82"/>
    <w:rsid w:val="110B3F03"/>
    <w:rsid w:val="124754CB"/>
    <w:rsid w:val="13876815"/>
    <w:rsid w:val="16A1506E"/>
    <w:rsid w:val="174C1201"/>
    <w:rsid w:val="187327BD"/>
    <w:rsid w:val="1C187979"/>
    <w:rsid w:val="1CBE7BEF"/>
    <w:rsid w:val="1FE950B6"/>
    <w:rsid w:val="20241715"/>
    <w:rsid w:val="20DC33DB"/>
    <w:rsid w:val="22F40F6B"/>
    <w:rsid w:val="24931896"/>
    <w:rsid w:val="24CC572F"/>
    <w:rsid w:val="263230B7"/>
    <w:rsid w:val="267F7CFE"/>
    <w:rsid w:val="27EE2107"/>
    <w:rsid w:val="2B25034B"/>
    <w:rsid w:val="2E204D3E"/>
    <w:rsid w:val="2E826880"/>
    <w:rsid w:val="31185E33"/>
    <w:rsid w:val="31B475C5"/>
    <w:rsid w:val="32A0644D"/>
    <w:rsid w:val="340842AA"/>
    <w:rsid w:val="340F06E9"/>
    <w:rsid w:val="36265E90"/>
    <w:rsid w:val="36DF7544"/>
    <w:rsid w:val="39106D2F"/>
    <w:rsid w:val="39CB2002"/>
    <w:rsid w:val="3A914FF9"/>
    <w:rsid w:val="3B3135D0"/>
    <w:rsid w:val="3BFA40BE"/>
    <w:rsid w:val="3CD33A6F"/>
    <w:rsid w:val="3D906EBC"/>
    <w:rsid w:val="3D986541"/>
    <w:rsid w:val="3EE35FD4"/>
    <w:rsid w:val="45AE54CB"/>
    <w:rsid w:val="48403BBB"/>
    <w:rsid w:val="4D0354AC"/>
    <w:rsid w:val="4D115206"/>
    <w:rsid w:val="4D7B21B1"/>
    <w:rsid w:val="4E681CBD"/>
    <w:rsid w:val="4F9251CB"/>
    <w:rsid w:val="50251647"/>
    <w:rsid w:val="51066946"/>
    <w:rsid w:val="51850890"/>
    <w:rsid w:val="51D8535D"/>
    <w:rsid w:val="52944000"/>
    <w:rsid w:val="532145E9"/>
    <w:rsid w:val="53DE53F7"/>
    <w:rsid w:val="54907C78"/>
    <w:rsid w:val="54A159E1"/>
    <w:rsid w:val="58317A7F"/>
    <w:rsid w:val="583628E4"/>
    <w:rsid w:val="584E7C2E"/>
    <w:rsid w:val="5A92249C"/>
    <w:rsid w:val="5C7165E1"/>
    <w:rsid w:val="5D8261C9"/>
    <w:rsid w:val="5DEF56D6"/>
    <w:rsid w:val="5E5759AC"/>
    <w:rsid w:val="5FA41C3A"/>
    <w:rsid w:val="5FFA69D9"/>
    <w:rsid w:val="602F6597"/>
    <w:rsid w:val="624B5C98"/>
    <w:rsid w:val="632F034D"/>
    <w:rsid w:val="63494BBA"/>
    <w:rsid w:val="635841DC"/>
    <w:rsid w:val="664A1589"/>
    <w:rsid w:val="6856486A"/>
    <w:rsid w:val="68A658A4"/>
    <w:rsid w:val="68C36121"/>
    <w:rsid w:val="699F653B"/>
    <w:rsid w:val="6A1967F4"/>
    <w:rsid w:val="6A564261"/>
    <w:rsid w:val="6A615EE7"/>
    <w:rsid w:val="6A900D9B"/>
    <w:rsid w:val="6D2F6881"/>
    <w:rsid w:val="6DCB4621"/>
    <w:rsid w:val="6ED150AB"/>
    <w:rsid w:val="6F923C98"/>
    <w:rsid w:val="70BF7003"/>
    <w:rsid w:val="72B234CC"/>
    <w:rsid w:val="72C11107"/>
    <w:rsid w:val="742F667C"/>
    <w:rsid w:val="7516167C"/>
    <w:rsid w:val="75735BAE"/>
    <w:rsid w:val="78494CB3"/>
    <w:rsid w:val="79895C20"/>
    <w:rsid w:val="7B4C0BF6"/>
    <w:rsid w:val="7CC95687"/>
    <w:rsid w:val="7D5E2BF7"/>
    <w:rsid w:val="7F9B5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5"/>
    <w:qFormat/>
    <w:uiPriority w:val="0"/>
    <w:pPr>
      <w:jc w:val="both"/>
      <w:textAlignment w:val="baseline"/>
    </w:pPr>
    <w:rPr>
      <w:rFonts w:ascii="Calibri" w:hAnsi="Calibri" w:eastAsia="宋体" w:cstheme="minorBidi"/>
      <w:kern w:val="2"/>
      <w:sz w:val="21"/>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styleId="4">
    <w:name w:val="annotation text"/>
    <w:basedOn w:val="1"/>
    <w:qFormat/>
    <w:uiPriority w:val="0"/>
    <w:pPr>
      <w:jc w:val="left"/>
    </w:pPr>
  </w:style>
  <w:style w:type="paragraph" w:styleId="5">
    <w:name w:val="Body Text"/>
    <w:basedOn w:val="1"/>
    <w:next w:val="6"/>
    <w:qFormat/>
    <w:uiPriority w:val="1"/>
    <w:pPr>
      <w:ind w:left="455"/>
    </w:pPr>
    <w:rPr>
      <w:rFonts w:ascii="宋体" w:hAnsi="宋体" w:eastAsia="宋体" w:cs="宋体"/>
      <w:sz w:val="24"/>
      <w:szCs w:val="24"/>
      <w:lang w:val="zh-CN" w:eastAsia="zh-CN" w:bidi="zh-CN"/>
    </w:rPr>
  </w:style>
  <w:style w:type="paragraph" w:styleId="6">
    <w:name w:val="Body Text 2"/>
    <w:basedOn w:val="1"/>
    <w:qFormat/>
    <w:uiPriority w:val="0"/>
    <w:pPr>
      <w:spacing w:after="120" w:line="480" w:lineRule="auto"/>
    </w:pPr>
    <w:rPr>
      <w:kern w:val="2"/>
      <w:sz w:val="21"/>
    </w:rPr>
  </w:style>
  <w:style w:type="paragraph" w:styleId="7">
    <w:name w:val="Body Text Indent"/>
    <w:basedOn w:val="1"/>
    <w:next w:val="8"/>
    <w:qFormat/>
    <w:uiPriority w:val="0"/>
    <w:pPr>
      <w:spacing w:after="120" w:afterLines="0"/>
      <w:ind w:left="420" w:leftChars="200"/>
    </w:pPr>
    <w:rPr>
      <w:rFonts w:ascii="宋体" w:hAnsi="宋体"/>
      <w:sz w:val="24"/>
    </w:rPr>
  </w:style>
  <w:style w:type="paragraph" w:styleId="8">
    <w:name w:val="Body Text First Indent 2"/>
    <w:basedOn w:val="7"/>
    <w:qFormat/>
    <w:uiPriority w:val="0"/>
    <w:pPr>
      <w:spacing w:after="120" w:afterLines="0" w:line="240" w:lineRule="auto"/>
      <w:ind w:left="420" w:leftChars="200" w:firstLine="420" w:firstLineChars="200"/>
    </w:pPr>
  </w:style>
  <w:style w:type="paragraph" w:styleId="9">
    <w:name w:val="footer"/>
    <w:basedOn w:val="1"/>
    <w:qFormat/>
    <w:uiPriority w:val="0"/>
    <w:pPr>
      <w:tabs>
        <w:tab w:val="center" w:pos="4153"/>
        <w:tab w:val="right" w:pos="8306"/>
      </w:tabs>
      <w:snapToGrid w:val="0"/>
      <w:jc w:val="left"/>
      <w:textAlignment w:val="baseline"/>
    </w:pPr>
    <w:rPr>
      <w:rFonts w:ascii="Calibri" w:hAnsi="Calibri" w:eastAsia="宋体"/>
      <w:kern w:val="2"/>
      <w:sz w:val="18"/>
      <w:szCs w:val="24"/>
      <w:lang w:val="en-US" w:eastAsia="zh-CN" w:bidi="ar-SA"/>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1">
    <w:name w:val="Title"/>
    <w:basedOn w:val="1"/>
    <w:next w:val="1"/>
    <w:qFormat/>
    <w:uiPriority w:val="0"/>
    <w:pPr>
      <w:spacing w:before="240" w:after="60"/>
      <w:jc w:val="center"/>
      <w:outlineLvl w:val="0"/>
    </w:pPr>
    <w:rPr>
      <w:rFonts w:ascii="Cambria" w:hAnsi="Cambria"/>
      <w:b/>
      <w:bCs/>
      <w:sz w:val="32"/>
      <w:szCs w:val="3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link w:val="1"/>
    <w:qFormat/>
    <w:uiPriority w:val="0"/>
    <w:rPr>
      <w:b/>
    </w:rPr>
  </w:style>
  <w:style w:type="character" w:styleId="16">
    <w:name w:val="Hyperlink"/>
    <w:basedOn w:val="14"/>
    <w:qFormat/>
    <w:uiPriority w:val="0"/>
    <w:rPr>
      <w:color w:val="0000FF"/>
      <w:u w:val="single"/>
    </w:rPr>
  </w:style>
  <w:style w:type="paragraph" w:customStyle="1" w:styleId="17">
    <w:name w:val="Fließtext"/>
    <w:basedOn w:val="1"/>
    <w:qFormat/>
    <w:uiPriority w:val="0"/>
    <w:pPr>
      <w:overflowPunct w:val="0"/>
      <w:autoSpaceDE w:val="0"/>
      <w:autoSpaceDN w:val="0"/>
      <w:adjustRightInd w:val="0"/>
      <w:textAlignment w:val="baseline"/>
    </w:pPr>
    <w:rPr>
      <w:kern w:val="28"/>
      <w:szCs w:val="20"/>
    </w:rPr>
  </w:style>
  <w:style w:type="character" w:customStyle="1" w:styleId="18">
    <w:name w:val="NormalCharacter"/>
    <w:link w:val="1"/>
    <w:semiHidden/>
    <w:qFormat/>
    <w:uiPriority w:val="0"/>
    <w:rPr>
      <w:rFonts w:ascii="Calibri" w:hAnsi="Calibri" w:eastAsia="宋体" w:cstheme="minorBidi"/>
      <w:kern w:val="2"/>
      <w:sz w:val="21"/>
      <w:szCs w:val="24"/>
      <w:lang w:val="en-US" w:eastAsia="zh-CN" w:bidi="ar-SA"/>
    </w:rPr>
  </w:style>
  <w:style w:type="paragraph" w:customStyle="1" w:styleId="19">
    <w:name w:val="UserStyle_7"/>
    <w:qFormat/>
    <w:uiPriority w:val="0"/>
    <w:pPr>
      <w:widowControl/>
      <w:ind w:leftChars="0"/>
      <w:textAlignment w:val="baseline"/>
    </w:pPr>
    <w:rPr>
      <w:rFonts w:ascii="Calibri" w:hAnsi="Calibri" w:eastAsia="宋体" w:cstheme="minorBidi"/>
      <w:sz w:val="20"/>
      <w:szCs w:val="20"/>
      <w:lang w:val="en-US"/>
    </w:rPr>
  </w:style>
  <w:style w:type="paragraph" w:customStyle="1" w:styleId="20">
    <w:name w:val="BodyText"/>
    <w:basedOn w:val="1"/>
    <w:next w:val="21"/>
    <w:qFormat/>
    <w:uiPriority w:val="0"/>
    <w:pPr>
      <w:ind w:left="455"/>
      <w:jc w:val="both"/>
      <w:textAlignment w:val="baseline"/>
    </w:pPr>
    <w:rPr>
      <w:rFonts w:ascii="宋体" w:hAnsi="宋体" w:eastAsia="宋体"/>
      <w:kern w:val="2"/>
      <w:sz w:val="24"/>
      <w:szCs w:val="24"/>
      <w:lang w:val="zh-CN" w:eastAsia="zh-CN" w:bidi="zh-CN"/>
    </w:rPr>
  </w:style>
  <w:style w:type="paragraph" w:customStyle="1" w:styleId="21">
    <w:name w:val="BodyText2"/>
    <w:basedOn w:val="1"/>
    <w:qFormat/>
    <w:uiPriority w:val="0"/>
    <w:pPr>
      <w:spacing w:after="120" w:line="480" w:lineRule="auto"/>
      <w:jc w:val="both"/>
      <w:textAlignment w:val="baseline"/>
    </w:pPr>
    <w:rPr>
      <w:rFonts w:ascii="Calibri" w:hAnsi="Calibri" w:eastAsia="宋体"/>
      <w:kern w:val="2"/>
      <w:sz w:val="21"/>
      <w:szCs w:val="24"/>
      <w:lang w:val="en-US" w:eastAsia="zh-CN" w:bidi="ar-SA"/>
    </w:rPr>
  </w:style>
  <w:style w:type="paragraph" w:customStyle="1" w:styleId="22">
    <w:name w:val="HtmlNormal"/>
    <w:basedOn w:val="1"/>
    <w:next w:val="23"/>
    <w:qFormat/>
    <w:uiPriority w:val="0"/>
    <w:pPr>
      <w:spacing w:before="100" w:beforeAutospacing="1" w:after="100" w:afterAutospacing="1"/>
      <w:ind w:left="0" w:right="0"/>
      <w:jc w:val="left"/>
      <w:textAlignment w:val="baseline"/>
    </w:pPr>
    <w:rPr>
      <w:rFonts w:ascii="Calibri" w:hAnsi="Calibri" w:eastAsia="宋体"/>
      <w:kern w:val="0"/>
      <w:sz w:val="24"/>
      <w:szCs w:val="24"/>
      <w:lang w:val="en-US" w:eastAsia="zh-CN"/>
    </w:rPr>
  </w:style>
  <w:style w:type="paragraph" w:customStyle="1" w:styleId="23">
    <w:name w:val="UserStyle_1"/>
    <w:basedOn w:val="24"/>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0" w:after="0" w:line="400" w:lineRule="exact"/>
      <w:jc w:val="both"/>
      <w:textAlignment w:val="baseline"/>
    </w:pPr>
    <w:rPr>
      <w:rFonts w:ascii="Times New Roman" w:hAnsi="Times New Roman" w:eastAsia="黑体"/>
      <w:b w:val="0"/>
      <w:bCs w:val="0"/>
      <w:kern w:val="1"/>
      <w:sz w:val="24"/>
      <w:szCs w:val="24"/>
      <w:lang w:val="en-US" w:eastAsia="zh-CN" w:bidi="ar-SA"/>
    </w:rPr>
  </w:style>
  <w:style w:type="paragraph" w:customStyle="1" w:styleId="24">
    <w:name w:val="Heading3"/>
    <w:next w:val="1"/>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260" w:after="260" w:line="416" w:lineRule="atLeast"/>
      <w:jc w:val="both"/>
      <w:textAlignment w:val="baseline"/>
    </w:pPr>
    <w:rPr>
      <w:rFonts w:ascii="Times New Roman" w:hAnsi="Times New Roman" w:eastAsia="宋体" w:cs="Times New Roman"/>
      <w:b/>
      <w:bCs/>
      <w:kern w:val="1"/>
      <w:sz w:val="32"/>
      <w:szCs w:val="32"/>
      <w:lang w:val="en-US" w:eastAsia="zh-CN" w:bidi="ar-SA"/>
    </w:rPr>
  </w:style>
  <w:style w:type="character" w:customStyle="1" w:styleId="25">
    <w:name w:val="UserStyle_2"/>
    <w:basedOn w:val="18"/>
    <w:link w:val="1"/>
    <w:qFormat/>
    <w:uiPriority w:val="0"/>
    <w:rPr>
      <w:rFonts w:ascii="仿宋_GB2312" w:eastAsia="仿宋_GB2312"/>
      <w:color w:val="000000"/>
      <w:sz w:val="20"/>
      <w:szCs w:val="20"/>
    </w:rPr>
  </w:style>
  <w:style w:type="paragraph" w:customStyle="1" w:styleId="26">
    <w:name w:val="null3"/>
    <w:qFormat/>
    <w:uiPriority w:val="0"/>
    <w:rPr>
      <w:rFonts w:hint="eastAsia" w:ascii="Calibri" w:hAnsi="Calibri" w:eastAsia="宋体" w:cs="Times New Roman"/>
      <w:lang w:val="en-US" w:eastAsia="zh-CN" w:bidi="ar-SA"/>
    </w:rPr>
  </w:style>
  <w:style w:type="paragraph" w:customStyle="1" w:styleId="27">
    <w:name w:val="正文 A"/>
    <w:qFormat/>
    <w:uiPriority w:val="0"/>
    <w:pPr>
      <w:framePr w:wrap="around" w:vAnchor="margin" w:hAnchor="text" w:y="1"/>
      <w:widowControl w:val="0"/>
      <w:jc w:val="both"/>
    </w:pPr>
    <w:rPr>
      <w:rFonts w:ascii="Times New Roman" w:hAnsi="Times New Roman" w:eastAsia="Arial Unicode MS"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5529</Words>
  <Characters>5792</Characters>
  <Lines>0</Lines>
  <Paragraphs>0</Paragraphs>
  <TotalTime>0</TotalTime>
  <ScaleCrop>false</ScaleCrop>
  <LinksUpToDate>false</LinksUpToDate>
  <CharactersWithSpaces>5811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2023-11-20T01:20:00Z</dcterms:created>
  <dc:creator>Scrat丶</dc:creator>
  <cp:lastModifiedBy>天津饭</cp:lastModifiedBy>
  <cp:lastPrinted>2025-02-20T00:26:00Z</cp:lastPrinted>
  <dcterms:modified xsi:type="dcterms:W3CDTF">2025-09-12T06:17:52Z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5AD1E0500D674815A9C1A156E2728B55_13</vt:lpwstr>
  </property>
  <property fmtid="{D5CDD505-2E9C-101B-9397-08002B2CF9AE}" pid="4" name="KSOTemplateDocerSaveRecord">
    <vt:lpwstr>eyJoZGlkIjoiNjBhY2Q1M2U5MjFlNzFkYTYwZmU5ZDI5MDYwMTA3NWUiLCJ1c2VySWQiOiIyNzI4MDk1MzYifQ==</vt:lpwstr>
  </property>
</Properties>
</file>